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09A77AD" w14:textId="77777777" w:rsidR="00393E8B" w:rsidRDefault="00000000">
      <w:pPr>
        <w:jc w:val="center"/>
        <w:rPr>
          <w:rFonts w:ascii="宋体" w:hAnsi="宋体" w:hint="eastAsia"/>
          <w:b/>
          <w:bCs/>
          <w:sz w:val="28"/>
          <w:szCs w:val="28"/>
        </w:rPr>
      </w:pPr>
      <w:r>
        <w:rPr>
          <w:rFonts w:ascii="Arial" w:eastAsia="宋体" w:hAnsi="Arial" w:cs="Arial"/>
          <w:b/>
          <w:bCs/>
          <w:sz w:val="28"/>
          <w:szCs w:val="28"/>
        </w:rPr>
        <w:t>GB/T 10425-2025</w:t>
      </w:r>
      <w:r>
        <w:rPr>
          <w:rFonts w:ascii="宋体" w:hAnsi="宋体" w:hint="eastAsia"/>
          <w:b/>
          <w:bCs/>
          <w:sz w:val="28"/>
          <w:szCs w:val="28"/>
        </w:rPr>
        <w:t>《烧结金属摩擦材料 表观硬度的测定》</w:t>
      </w:r>
    </w:p>
    <w:p w14:paraId="10EDE4EB" w14:textId="77777777" w:rsidR="00393E8B" w:rsidRDefault="00000000">
      <w:pPr>
        <w:jc w:val="center"/>
        <w:rPr>
          <w:rFonts w:ascii="宋体" w:hAnsi="宋体" w:hint="eastAsia"/>
          <w:b/>
          <w:bCs/>
          <w:sz w:val="28"/>
          <w:szCs w:val="28"/>
        </w:rPr>
      </w:pPr>
      <w:r>
        <w:rPr>
          <w:rFonts w:ascii="宋体" w:hAnsi="宋体" w:hint="eastAsia"/>
          <w:b/>
          <w:bCs/>
          <w:sz w:val="28"/>
          <w:szCs w:val="28"/>
        </w:rPr>
        <w:t>标准解读</w:t>
      </w:r>
    </w:p>
    <w:p w14:paraId="1173C046" w14:textId="77777777" w:rsidR="00393E8B" w:rsidRDefault="00393E8B">
      <w:pPr>
        <w:jc w:val="center"/>
        <w:rPr>
          <w:rFonts w:ascii="宋体" w:hAnsi="宋体" w:hint="eastAsia"/>
          <w:sz w:val="18"/>
          <w:szCs w:val="18"/>
        </w:rPr>
      </w:pPr>
    </w:p>
    <w:p w14:paraId="20A3FA0D" w14:textId="77777777" w:rsidR="00393E8B" w:rsidRDefault="00000000">
      <w:pPr>
        <w:jc w:val="center"/>
        <w:rPr>
          <w:rFonts w:ascii="宋体" w:hAnsi="宋体" w:hint="eastAsia"/>
          <w:sz w:val="18"/>
          <w:szCs w:val="18"/>
        </w:rPr>
      </w:pPr>
      <w:r>
        <w:rPr>
          <w:rFonts w:ascii="宋体" w:hAnsi="宋体" w:hint="eastAsia"/>
          <w:sz w:val="18"/>
          <w:szCs w:val="18"/>
        </w:rPr>
        <w:t>吕  波</w:t>
      </w:r>
    </w:p>
    <w:p w14:paraId="4DBC762D" w14:textId="77777777" w:rsidR="00393E8B" w:rsidRDefault="00000000">
      <w:pPr>
        <w:jc w:val="center"/>
        <w:rPr>
          <w:rFonts w:ascii="宋体" w:hAnsi="宋体" w:hint="eastAsia"/>
          <w:sz w:val="18"/>
          <w:szCs w:val="18"/>
        </w:rPr>
      </w:pPr>
      <w:r>
        <w:rPr>
          <w:rFonts w:ascii="宋体" w:hAnsi="宋体" w:hint="eastAsia"/>
          <w:sz w:val="18"/>
          <w:szCs w:val="18"/>
        </w:rPr>
        <w:t>黄石赛福摩擦材料有限公司</w:t>
      </w:r>
    </w:p>
    <w:p w14:paraId="520E71B1" w14:textId="77777777" w:rsidR="00393E8B" w:rsidRDefault="00393E8B">
      <w:pPr>
        <w:jc w:val="left"/>
        <w:rPr>
          <w:rFonts w:ascii="宋体" w:hAnsi="宋体" w:hint="eastAsia"/>
          <w:sz w:val="18"/>
          <w:szCs w:val="18"/>
        </w:rPr>
      </w:pPr>
    </w:p>
    <w:p w14:paraId="0F2C68DF" w14:textId="77777777" w:rsidR="00393E8B" w:rsidRDefault="00000000">
      <w:pPr>
        <w:spacing w:line="360" w:lineRule="auto"/>
        <w:ind w:firstLineChars="200" w:firstLine="420"/>
        <w:rPr>
          <w:rFonts w:ascii="宋体" w:hAnsi="宋体" w:hint="eastAsia"/>
          <w:szCs w:val="21"/>
        </w:rPr>
      </w:pPr>
      <w:r>
        <w:t>硬度是评定</w:t>
      </w:r>
      <w:r>
        <w:rPr>
          <w:rFonts w:hint="eastAsia"/>
        </w:rPr>
        <w:t>烧结金属摩擦材料</w:t>
      </w:r>
      <w:r>
        <w:t>力学性能</w:t>
      </w:r>
      <w:r>
        <w:rPr>
          <w:rFonts w:hint="eastAsia"/>
        </w:rPr>
        <w:t>重要</w:t>
      </w:r>
      <w:r>
        <w:t>的指标之一。</w:t>
      </w:r>
      <w:r>
        <w:rPr>
          <w:rFonts w:ascii="Arial" w:eastAsia="仿宋_GB2312" w:hAnsi="Arial" w:cs="Arial"/>
          <w:szCs w:val="21"/>
        </w:rPr>
        <w:t>GB/T 10425-</w:t>
      </w:r>
      <w:r>
        <w:rPr>
          <w:rFonts w:ascii="Arial" w:eastAsia="仿宋_GB2312" w:hAnsi="Arial" w:cs="Arial" w:hint="eastAsia"/>
          <w:szCs w:val="21"/>
        </w:rPr>
        <w:t xml:space="preserve">2002 </w:t>
      </w:r>
      <w:r>
        <w:rPr>
          <w:rFonts w:ascii="宋体" w:hAnsi="宋体" w:hint="eastAsia"/>
          <w:szCs w:val="21"/>
        </w:rPr>
        <w:t>《烧结金属摩擦材料 表观硬度的测定》</w:t>
      </w:r>
      <w:r>
        <w:rPr>
          <w:rFonts w:cs="Times New Roman" w:hint="eastAsia"/>
          <w:szCs w:val="20"/>
        </w:rPr>
        <w:t>提供了一种</w:t>
      </w:r>
      <w:r>
        <w:rPr>
          <w:rFonts w:cs="Times New Roman" w:hint="eastAsia"/>
        </w:rPr>
        <w:t>布氏硬度试验方法</w:t>
      </w:r>
      <w:r>
        <w:rPr>
          <w:rFonts w:ascii="宋体" w:hAnsi="宋体" w:hint="eastAsia"/>
          <w:szCs w:val="21"/>
        </w:rPr>
        <w:t>，测试厚度不小于0.7毫米。然而近年来，市场上小于0.7毫米的薄摩擦片需求呈上升趋势，无论是摩擦材料制造企业还是主机厂，都急需小厚度烧结金属摩擦材料表观硬度</w:t>
      </w:r>
      <w:r>
        <w:t>评定</w:t>
      </w:r>
      <w:r>
        <w:rPr>
          <w:rFonts w:ascii="宋体" w:hAnsi="宋体" w:hint="eastAsia"/>
          <w:szCs w:val="21"/>
        </w:rPr>
        <w:t>的技术支持。</w:t>
      </w:r>
    </w:p>
    <w:p w14:paraId="35BFF71F" w14:textId="77777777" w:rsidR="00393E8B" w:rsidRDefault="00000000">
      <w:pPr>
        <w:spacing w:line="360" w:lineRule="auto"/>
        <w:ind w:firstLineChars="200" w:firstLine="420"/>
        <w:rPr>
          <w:rFonts w:cs="Times New Roman"/>
          <w:szCs w:val="20"/>
        </w:rPr>
      </w:pPr>
      <w:r>
        <w:rPr>
          <w:rFonts w:hint="eastAsia"/>
        </w:rPr>
        <w:t>我公司研发部门带着这个问题进行了市场调研走访，了解到国际上欧美、日本等国的烧结金属摩擦材料表观</w:t>
      </w:r>
      <w:r>
        <w:rPr>
          <w:rFonts w:cs="Times New Roman" w:hint="eastAsia"/>
        </w:rPr>
        <w:t>硬度测试方法，采用的是</w:t>
      </w:r>
      <w:r>
        <w:rPr>
          <w:rFonts w:ascii="Times New Roman" w:eastAsia="宋体" w:hAnsi="Times New Roman" w:cs="Times New Roman" w:hint="eastAsia"/>
          <w:szCs w:val="20"/>
        </w:rPr>
        <w:t>洛氏硬度的标准试验方法</w:t>
      </w:r>
      <w:r>
        <w:rPr>
          <w:rFonts w:cs="Times New Roman" w:hint="eastAsia"/>
          <w:szCs w:val="20"/>
        </w:rPr>
        <w:t>。我们委托</w:t>
      </w:r>
      <w:r>
        <w:rPr>
          <w:rFonts w:cs="Times New Roman" w:hint="eastAsia"/>
          <w:szCs w:val="20"/>
        </w:rPr>
        <w:t>5</w:t>
      </w:r>
      <w:r>
        <w:rPr>
          <w:rFonts w:cs="Times New Roman" w:hint="eastAsia"/>
          <w:szCs w:val="20"/>
        </w:rPr>
        <w:t>个</w:t>
      </w:r>
      <w:r>
        <w:rPr>
          <w:rFonts w:ascii="宋体" w:hAnsi="宋体" w:hint="eastAsia"/>
          <w:bCs/>
          <w:szCs w:val="21"/>
        </w:rPr>
        <w:t>试验室做了分析试验，试验了烧结金属摩擦材料布氏硬度HBW；洛氏硬度HRR、HRL、HRM；表面洛氏硬度15X、15Y；对于硬度的不同等级，总共3种不同材料各进行了3次重复分析试验，</w:t>
      </w:r>
      <w:r>
        <w:rPr>
          <w:rFonts w:ascii="宋体" w:hAnsi="宋体" w:hint="eastAsia"/>
          <w:szCs w:val="21"/>
        </w:rPr>
        <w:t>对同一材料，不同的操作者使用不同的硬度计在不同时间获得的试验结果测量值差小于该标尺的R值，则意味着试验结果是相同的，试验的准确性是可信的。这为修订</w:t>
      </w:r>
      <w:r>
        <w:rPr>
          <w:rFonts w:ascii="Arial" w:eastAsia="仿宋_GB2312" w:hAnsi="Arial" w:cs="Arial"/>
          <w:szCs w:val="21"/>
        </w:rPr>
        <w:t>GB/T 10425-</w:t>
      </w:r>
      <w:r>
        <w:rPr>
          <w:rFonts w:ascii="Arial" w:eastAsia="仿宋_GB2312" w:hAnsi="Arial" w:cs="Arial" w:hint="eastAsia"/>
          <w:szCs w:val="21"/>
        </w:rPr>
        <w:t>2002</w:t>
      </w:r>
      <w:r>
        <w:rPr>
          <w:rFonts w:ascii="Arial" w:eastAsia="仿宋_GB2312" w:hAnsi="Arial" w:cs="Arial" w:hint="eastAsia"/>
          <w:szCs w:val="21"/>
        </w:rPr>
        <w:t>，</w:t>
      </w:r>
      <w:r>
        <w:rPr>
          <w:rFonts w:ascii="宋体" w:eastAsia="宋体" w:hAnsi="宋体" w:cs="宋体" w:hint="eastAsia"/>
          <w:szCs w:val="21"/>
        </w:rPr>
        <w:t>增加</w:t>
      </w:r>
      <w:r>
        <w:rPr>
          <w:rFonts w:ascii="宋体" w:hAnsi="宋体" w:hint="eastAsia"/>
          <w:szCs w:val="21"/>
        </w:rPr>
        <w:t>表观洛氏硬度（标尺为L、M、R的洛氏硬度和标尺为15X和15Y的表面洛氏硬度）的测定提供了理论基础。</w:t>
      </w:r>
    </w:p>
    <w:p w14:paraId="20783E60" w14:textId="77777777" w:rsidR="00393E8B" w:rsidRDefault="00393E8B">
      <w:pPr>
        <w:spacing w:line="360" w:lineRule="auto"/>
        <w:ind w:firstLineChars="200" w:firstLine="420"/>
      </w:pPr>
    </w:p>
    <w:p w14:paraId="3FFDA1BF" w14:textId="77777777" w:rsidR="00393E8B" w:rsidRDefault="00000000">
      <w:pPr>
        <w:spacing w:line="460" w:lineRule="exact"/>
        <w:rPr>
          <w:rFonts w:ascii="宋体" w:hAnsi="宋体" w:hint="eastAsia"/>
          <w:szCs w:val="21"/>
        </w:rPr>
      </w:pPr>
      <w:r>
        <w:rPr>
          <w:rFonts w:ascii="宋体" w:eastAsia="宋体" w:hAnsi="宋体" w:cs="宋体" w:hint="eastAsia"/>
          <w:b/>
          <w:bCs/>
          <w:kern w:val="0"/>
          <w:sz w:val="24"/>
        </w:rPr>
        <w:t>一、标准制定背景</w:t>
      </w:r>
    </w:p>
    <w:p w14:paraId="0032F10F" w14:textId="77777777" w:rsidR="00393E8B" w:rsidRDefault="00000000">
      <w:pPr>
        <w:spacing w:line="460" w:lineRule="exact"/>
        <w:ind w:firstLineChars="200" w:firstLine="420"/>
        <w:rPr>
          <w:rFonts w:ascii="宋体" w:hAnsi="宋体" w:hint="eastAsia"/>
          <w:szCs w:val="21"/>
        </w:rPr>
      </w:pPr>
      <w:r>
        <w:rPr>
          <w:rFonts w:ascii="Arial" w:eastAsia="仿宋_GB2312" w:hAnsi="Arial" w:cs="Arial"/>
          <w:szCs w:val="21"/>
        </w:rPr>
        <w:t>GB/T 10425-</w:t>
      </w:r>
      <w:r>
        <w:rPr>
          <w:rFonts w:ascii="Arial" w:eastAsia="仿宋_GB2312" w:hAnsi="Arial" w:cs="Arial" w:hint="eastAsia"/>
          <w:szCs w:val="21"/>
        </w:rPr>
        <w:t xml:space="preserve">1989 </w:t>
      </w:r>
      <w:r>
        <w:rPr>
          <w:rFonts w:ascii="宋体" w:hAnsi="宋体" w:hint="eastAsia"/>
          <w:szCs w:val="21"/>
        </w:rPr>
        <w:t>《烧结金属摩擦材料 表观硬度的测定》于</w:t>
      </w:r>
      <w:r>
        <w:rPr>
          <w:rFonts w:ascii="宋体" w:hAnsi="宋体"/>
          <w:szCs w:val="21"/>
        </w:rPr>
        <w:t>1989</w:t>
      </w:r>
      <w:r>
        <w:rPr>
          <w:rFonts w:ascii="宋体" w:hAnsi="宋体" w:hint="eastAsia"/>
          <w:szCs w:val="21"/>
        </w:rPr>
        <w:t>年首次发布，2002年作了第一次修订后，到2022年</w:t>
      </w:r>
      <w:r>
        <w:rPr>
          <w:rFonts w:ascii="宋体" w:hAnsi="宋体"/>
          <w:szCs w:val="21"/>
        </w:rPr>
        <w:t>标龄</w:t>
      </w:r>
      <w:r>
        <w:rPr>
          <w:rFonts w:ascii="宋体" w:hAnsi="宋体" w:hint="eastAsia"/>
          <w:szCs w:val="21"/>
        </w:rPr>
        <w:t>已有20年，内容</w:t>
      </w:r>
      <w:r>
        <w:rPr>
          <w:rFonts w:ascii="宋体" w:hAnsi="宋体"/>
          <w:szCs w:val="21"/>
        </w:rPr>
        <w:t>老化</w:t>
      </w:r>
      <w:r>
        <w:rPr>
          <w:rFonts w:ascii="宋体" w:hAnsi="宋体" w:hint="eastAsia"/>
          <w:szCs w:val="21"/>
        </w:rPr>
        <w:t>，标准的适用性和规范性已经滞后，不能满足当下急需增加对小厚度烧结金属摩擦材料表观硬度测试的技术需求。</w:t>
      </w:r>
    </w:p>
    <w:p w14:paraId="3D5689AB" w14:textId="633B4254" w:rsidR="00393E8B" w:rsidRDefault="00000000">
      <w:pPr>
        <w:spacing w:line="460" w:lineRule="exact"/>
        <w:ind w:firstLineChars="200" w:firstLine="420"/>
        <w:rPr>
          <w:rFonts w:ascii="宋体" w:eastAsia="宋体" w:hAnsi="宋体" w:hint="eastAsia"/>
          <w:szCs w:val="21"/>
        </w:rPr>
      </w:pPr>
      <w:r>
        <w:rPr>
          <w:rFonts w:ascii="宋体" w:eastAsia="宋体" w:hAnsi="宋体" w:hint="eastAsia"/>
          <w:szCs w:val="21"/>
        </w:rPr>
        <w:t>我公司针对</w:t>
      </w:r>
      <w:r>
        <w:rPr>
          <w:rFonts w:ascii="宋体" w:eastAsia="宋体" w:hAnsi="宋体"/>
          <w:szCs w:val="21"/>
        </w:rPr>
        <w:t>GB/T 10425-</w:t>
      </w:r>
      <w:r>
        <w:rPr>
          <w:rFonts w:ascii="宋体" w:eastAsia="宋体" w:hAnsi="宋体" w:hint="eastAsia"/>
          <w:szCs w:val="21"/>
        </w:rPr>
        <w:t>2002存在的问题，在</w:t>
      </w:r>
      <w:r>
        <w:rPr>
          <w:rFonts w:hint="eastAsia"/>
          <w:szCs w:val="21"/>
        </w:rPr>
        <w:t>2022</w:t>
      </w:r>
      <w:r>
        <w:rPr>
          <w:rFonts w:hint="eastAsia"/>
          <w:szCs w:val="21"/>
        </w:rPr>
        <w:t>年</w:t>
      </w:r>
      <w:r>
        <w:rPr>
          <w:rFonts w:hint="eastAsia"/>
          <w:szCs w:val="21"/>
        </w:rPr>
        <w:t>5</w:t>
      </w:r>
      <w:r>
        <w:rPr>
          <w:rFonts w:hint="eastAsia"/>
          <w:szCs w:val="21"/>
        </w:rPr>
        <w:t>月</w:t>
      </w:r>
      <w:r>
        <w:rPr>
          <w:rFonts w:ascii="宋体" w:eastAsia="宋体" w:hAnsi="宋体" w:hint="eastAsia"/>
          <w:szCs w:val="21"/>
        </w:rPr>
        <w:t>编写了修订</w:t>
      </w:r>
      <w:r>
        <w:rPr>
          <w:rFonts w:ascii="宋体" w:eastAsia="宋体" w:hAnsi="宋体"/>
          <w:szCs w:val="21"/>
        </w:rPr>
        <w:t>GB/T 10425-</w:t>
      </w:r>
      <w:r>
        <w:rPr>
          <w:rFonts w:ascii="宋体" w:eastAsia="宋体" w:hAnsi="宋体" w:hint="eastAsia"/>
          <w:szCs w:val="21"/>
        </w:rPr>
        <w:t>2002项目建议书，提交</w:t>
      </w:r>
      <w:r w:rsidR="000B02A2">
        <w:rPr>
          <w:rFonts w:ascii="宋体" w:eastAsia="宋体" w:hAnsi="宋体" w:hint="eastAsia"/>
          <w:szCs w:val="21"/>
        </w:rPr>
        <w:t>机械工业</w:t>
      </w:r>
      <w:r>
        <w:rPr>
          <w:rFonts w:ascii="宋体" w:eastAsia="宋体" w:hAnsi="宋体" w:hint="eastAsia"/>
          <w:szCs w:val="21"/>
        </w:rPr>
        <w:t>粉末冶金</w:t>
      </w:r>
      <w:r w:rsidR="000B02A2">
        <w:rPr>
          <w:rFonts w:ascii="宋体" w:eastAsia="宋体" w:hAnsi="宋体" w:hint="eastAsia"/>
          <w:szCs w:val="21"/>
        </w:rPr>
        <w:t>制品</w:t>
      </w:r>
      <w:r>
        <w:rPr>
          <w:rFonts w:ascii="宋体" w:eastAsia="宋体" w:hAnsi="宋体" w:hint="eastAsia"/>
          <w:szCs w:val="21"/>
        </w:rPr>
        <w:t>标委会</w:t>
      </w:r>
      <w:r w:rsidR="000B02A2">
        <w:rPr>
          <w:rFonts w:ascii="宋体" w:eastAsia="宋体" w:hAnsi="宋体" w:hint="eastAsia"/>
          <w:szCs w:val="21"/>
        </w:rPr>
        <w:t>（以下简称标委会）</w:t>
      </w:r>
      <w:r>
        <w:rPr>
          <w:rFonts w:ascii="宋体" w:eastAsia="宋体" w:hAnsi="宋体" w:hint="eastAsia"/>
          <w:szCs w:val="21"/>
        </w:rPr>
        <w:t>。</w:t>
      </w:r>
    </w:p>
    <w:p w14:paraId="3BEC27F6" w14:textId="4968C91A" w:rsidR="00393E8B" w:rsidRDefault="00000000">
      <w:pPr>
        <w:spacing w:line="460" w:lineRule="exact"/>
        <w:ind w:firstLineChars="200" w:firstLine="420"/>
        <w:rPr>
          <w:rFonts w:ascii="宋体" w:hAnsi="宋体" w:hint="eastAsia"/>
          <w:sz w:val="24"/>
        </w:rPr>
      </w:pPr>
      <w:r>
        <w:rPr>
          <w:rFonts w:ascii="宋体" w:eastAsia="宋体" w:hAnsi="宋体" w:hint="eastAsia"/>
          <w:szCs w:val="21"/>
        </w:rPr>
        <w:t>该修改建议经标委会评估审查后，上报国家标准化管理委员会批准并下达国家标准复审修订计划（国标委发函[2023]64号），计划编号20233538-T-604，项目名称：《烧结金属摩擦材料  表观硬度的测定》进行修订，主要起草单位：黄石赛福摩擦材料有限公司、杭州前进齿轮箱集团股份有限公司、北京优材百慕航空器材有限公司，</w:t>
      </w:r>
      <w:r>
        <w:rPr>
          <w:rFonts w:ascii="宋体" w:hAnsi="宋体" w:hint="eastAsia"/>
          <w:szCs w:val="21"/>
        </w:rPr>
        <w:t>陕西亿创钛锆检测有限公司，西北有色金属研究院。</w:t>
      </w:r>
    </w:p>
    <w:p w14:paraId="6DC5CB20" w14:textId="77777777" w:rsidR="00393E8B" w:rsidRDefault="00000000">
      <w:pPr>
        <w:spacing w:line="460" w:lineRule="exact"/>
        <w:ind w:firstLineChars="200" w:firstLine="420"/>
        <w:rPr>
          <w:rFonts w:ascii="宋体" w:eastAsia="宋体" w:hAnsi="宋体" w:hint="eastAsia"/>
          <w:szCs w:val="21"/>
        </w:rPr>
      </w:pPr>
      <w:r>
        <w:rPr>
          <w:rFonts w:ascii="宋体" w:eastAsia="宋体" w:hAnsi="宋体" w:hint="eastAsia"/>
          <w:szCs w:val="21"/>
        </w:rPr>
        <w:t>项目周期16个月。</w:t>
      </w:r>
    </w:p>
    <w:p w14:paraId="580E84C2" w14:textId="77777777" w:rsidR="00393E8B" w:rsidRDefault="00000000">
      <w:pPr>
        <w:spacing w:line="460" w:lineRule="exact"/>
        <w:ind w:firstLineChars="200" w:firstLine="420"/>
        <w:rPr>
          <w:rFonts w:ascii="宋体" w:eastAsia="宋体" w:hAnsi="宋体" w:hint="eastAsia"/>
          <w:szCs w:val="21"/>
        </w:rPr>
      </w:pPr>
      <w:r>
        <w:rPr>
          <w:rFonts w:ascii="宋体" w:eastAsia="宋体" w:hAnsi="宋体" w:hint="eastAsia"/>
          <w:szCs w:val="21"/>
        </w:rPr>
        <w:t>本次修订解决了2002版标准存在的问题，保证了标准的时效性、先进性、延续性和完整性。规范了标准的文档结构和表述方式，增加了表观洛氏硬度的测定方法，增加了试验原理、示意图及仪器设备、试样、试验步骤等方面的详细描述，使测定方法更加科学规范、具有更强的适用性和可操作性。</w:t>
      </w:r>
    </w:p>
    <w:p w14:paraId="4007E350" w14:textId="77777777" w:rsidR="00393E8B" w:rsidRDefault="00000000">
      <w:pPr>
        <w:pStyle w:val="a8"/>
        <w:spacing w:before="100" w:beforeAutospacing="1" w:line="360" w:lineRule="auto"/>
        <w:ind w:firstLineChars="0" w:firstLine="0"/>
        <w:jc w:val="left"/>
        <w:rPr>
          <w:rFonts w:ascii="宋体" w:hAnsi="宋体" w:hint="eastAsia"/>
          <w:b/>
          <w:kern w:val="0"/>
          <w:sz w:val="24"/>
        </w:rPr>
      </w:pPr>
      <w:r>
        <w:rPr>
          <w:rFonts w:ascii="宋体" w:eastAsia="宋体" w:hAnsi="宋体" w:hint="eastAsia"/>
          <w:szCs w:val="21"/>
        </w:rPr>
        <w:lastRenderedPageBreak/>
        <w:t>二、</w:t>
      </w:r>
      <w:r>
        <w:rPr>
          <w:rFonts w:ascii="宋体" w:hAnsi="宋体" w:hint="eastAsia"/>
          <w:b/>
          <w:kern w:val="0"/>
          <w:sz w:val="24"/>
        </w:rPr>
        <w:t>主要工作过程</w:t>
      </w:r>
    </w:p>
    <w:p w14:paraId="09A84FEE" w14:textId="77777777" w:rsidR="00393E8B" w:rsidRDefault="00000000">
      <w:pPr>
        <w:spacing w:line="460" w:lineRule="exact"/>
        <w:ind w:firstLineChars="200" w:firstLine="420"/>
        <w:rPr>
          <w:rFonts w:ascii="宋体" w:hAnsi="宋体" w:hint="eastAsia"/>
          <w:szCs w:val="21"/>
        </w:rPr>
      </w:pPr>
      <w:r>
        <w:rPr>
          <w:rFonts w:ascii="宋体" w:hAnsi="宋体" w:hint="eastAsia"/>
          <w:szCs w:val="21"/>
        </w:rPr>
        <w:t>起草阶段：202</w:t>
      </w:r>
      <w:r>
        <w:rPr>
          <w:rFonts w:ascii="宋体" w:hAnsi="宋体"/>
          <w:szCs w:val="21"/>
        </w:rPr>
        <w:t>4</w:t>
      </w:r>
      <w:r>
        <w:rPr>
          <w:rFonts w:ascii="宋体" w:hAnsi="宋体" w:hint="eastAsia"/>
          <w:szCs w:val="21"/>
        </w:rPr>
        <w:t>年1月，黄石赛福摩擦材料有限公司组织成立了《烧结金属摩擦材料 表观硬度的测定》标准编制组，明确了起草人员和编制任务，制定了工作计划及制定原则。202</w:t>
      </w:r>
      <w:r>
        <w:rPr>
          <w:rFonts w:ascii="宋体" w:hAnsi="宋体"/>
          <w:szCs w:val="21"/>
        </w:rPr>
        <w:t>4</w:t>
      </w:r>
      <w:r>
        <w:rPr>
          <w:rFonts w:ascii="宋体" w:hAnsi="宋体" w:hint="eastAsia"/>
          <w:szCs w:val="21"/>
        </w:rPr>
        <w:t>年1月～202</w:t>
      </w:r>
      <w:r>
        <w:rPr>
          <w:rFonts w:ascii="宋体" w:hAnsi="宋体"/>
          <w:szCs w:val="21"/>
        </w:rPr>
        <w:t>4</w:t>
      </w:r>
      <w:r>
        <w:rPr>
          <w:rFonts w:ascii="宋体" w:hAnsi="宋体" w:hint="eastAsia"/>
          <w:szCs w:val="21"/>
        </w:rPr>
        <w:t>年3月期间，编制组了收集相关信息，查阅了国内外相关资料，经过初步讨论和修改，完成了标准的草案稿。经过多次修改后，于2024年6月初完成标准修订的征求意见稿。</w:t>
      </w:r>
    </w:p>
    <w:p w14:paraId="190F051A" w14:textId="3C7A7A45" w:rsidR="00393E8B" w:rsidRDefault="00000000">
      <w:pPr>
        <w:spacing w:line="460" w:lineRule="exact"/>
        <w:ind w:firstLineChars="200" w:firstLine="420"/>
        <w:rPr>
          <w:rFonts w:ascii="宋体" w:hAnsi="宋体" w:hint="eastAsia"/>
          <w:szCs w:val="21"/>
        </w:rPr>
      </w:pPr>
      <w:r>
        <w:rPr>
          <w:rFonts w:ascii="宋体" w:hAnsi="宋体" w:hint="eastAsia"/>
          <w:szCs w:val="21"/>
        </w:rPr>
        <w:t>征求意见阶段：经标委会秘书处同意，将标准征求意见稿于2024年8月1日发送到行业有关单位及通过网站（</w:t>
      </w:r>
      <w:hyperlink r:id="rId8" w:history="1">
        <w:r>
          <w:rPr>
            <w:rStyle w:val="a7"/>
            <w:rFonts w:ascii="宋体" w:hAnsi="宋体" w:hint="eastAsia"/>
            <w:color w:val="auto"/>
            <w:szCs w:val="21"/>
          </w:rPr>
          <w:t>https://std.samr.gov.cn/</w:t>
        </w:r>
      </w:hyperlink>
      <w:r>
        <w:rPr>
          <w:rFonts w:ascii="宋体" w:hAnsi="宋体" w:hint="eastAsia"/>
          <w:szCs w:val="21"/>
        </w:rPr>
        <w:t>；www.cmpma.com.cn）广泛征求意见。截止到2024年9月30日，共发函33个单位，收到4个单位回函，提出了22条意见。标准编制组根据反馈的意见对标准征求意见稿进行了补充修改，于2024年11月20日完成了征求意见稿的修改工作，形成了标准送审稿和编制说明，提交标委会</w:t>
      </w:r>
      <w:r w:rsidR="00C3769A">
        <w:rPr>
          <w:rFonts w:ascii="宋体" w:hAnsi="宋体" w:hint="eastAsia"/>
          <w:szCs w:val="21"/>
        </w:rPr>
        <w:t>秘书处</w:t>
      </w:r>
      <w:r>
        <w:rPr>
          <w:rFonts w:ascii="宋体" w:hAnsi="宋体" w:hint="eastAsia"/>
          <w:szCs w:val="21"/>
        </w:rPr>
        <w:t>。</w:t>
      </w:r>
    </w:p>
    <w:p w14:paraId="70436D4A" w14:textId="733F96DA" w:rsidR="00393E8B" w:rsidRDefault="00000000">
      <w:pPr>
        <w:spacing w:line="460" w:lineRule="exact"/>
        <w:ind w:firstLineChars="200" w:firstLine="420"/>
        <w:rPr>
          <w:rFonts w:ascii="宋体" w:hAnsi="宋体" w:hint="eastAsia"/>
          <w:szCs w:val="21"/>
        </w:rPr>
      </w:pPr>
      <w:r>
        <w:rPr>
          <w:rFonts w:ascii="宋体" w:hAnsi="宋体" w:hint="eastAsia"/>
          <w:szCs w:val="21"/>
        </w:rPr>
        <w:t>审查阶段：2024年12月20日，</w:t>
      </w:r>
      <w:r w:rsidR="00C3769A">
        <w:rPr>
          <w:rFonts w:ascii="宋体" w:hAnsi="宋体" w:hint="eastAsia"/>
          <w:szCs w:val="21"/>
        </w:rPr>
        <w:t>标委</w:t>
      </w:r>
      <w:r>
        <w:rPr>
          <w:rFonts w:ascii="宋体" w:hAnsi="宋体" w:hint="eastAsia"/>
          <w:szCs w:val="21"/>
        </w:rPr>
        <w:t>会在南京召开标准审查会议，委员提出修改意见和建议19条，全部采纳。2025年1月，标准编制组根据委员的意见和建议，修改了标准送审稿和编制说明。于2025年1月14日形成了标准报批稿和报批稿编制说明，提交标委会</w:t>
      </w:r>
      <w:r w:rsidR="00C3769A">
        <w:rPr>
          <w:rFonts w:ascii="宋体" w:hAnsi="宋体" w:hint="eastAsia"/>
          <w:szCs w:val="21"/>
        </w:rPr>
        <w:t>秘书处</w:t>
      </w:r>
      <w:r>
        <w:rPr>
          <w:rFonts w:ascii="宋体" w:hAnsi="宋体" w:hint="eastAsia"/>
          <w:szCs w:val="21"/>
        </w:rPr>
        <w:t>。</w:t>
      </w:r>
    </w:p>
    <w:p w14:paraId="65C4AE96" w14:textId="7BD3D306" w:rsidR="00393E8B" w:rsidRDefault="00000000">
      <w:pPr>
        <w:spacing w:line="460" w:lineRule="exact"/>
        <w:ind w:firstLineChars="200" w:firstLine="420"/>
        <w:rPr>
          <w:rFonts w:ascii="宋体" w:hAnsi="宋体" w:hint="eastAsia"/>
          <w:szCs w:val="21"/>
        </w:rPr>
      </w:pPr>
      <w:r>
        <w:rPr>
          <w:rFonts w:ascii="宋体" w:eastAsia="宋体" w:hAnsi="宋体" w:hint="eastAsia"/>
          <w:szCs w:val="21"/>
        </w:rPr>
        <w:t>发布阶段：</w:t>
      </w:r>
      <w:r>
        <w:rPr>
          <w:rFonts w:ascii="宋体" w:hAnsi="宋体" w:hint="eastAsia"/>
          <w:szCs w:val="21"/>
        </w:rPr>
        <w:t>标委会秘书处收到报批稿和报批稿编制说明后认真审查，再提交国家市场监督管理局、国家标准化管理委员会批准，本标准已于2025年8月1日发布。</w:t>
      </w:r>
    </w:p>
    <w:p w14:paraId="456A9053" w14:textId="77777777" w:rsidR="00393E8B" w:rsidRDefault="00393E8B">
      <w:pPr>
        <w:spacing w:line="460" w:lineRule="exact"/>
        <w:ind w:firstLineChars="200" w:firstLine="420"/>
        <w:rPr>
          <w:rFonts w:ascii="宋体" w:hAnsi="宋体" w:hint="eastAsia"/>
          <w:szCs w:val="21"/>
        </w:rPr>
      </w:pPr>
    </w:p>
    <w:p w14:paraId="242FA635" w14:textId="77777777" w:rsidR="00393E8B" w:rsidRDefault="00000000">
      <w:pPr>
        <w:numPr>
          <w:ilvl w:val="0"/>
          <w:numId w:val="2"/>
        </w:numPr>
        <w:spacing w:line="460" w:lineRule="exact"/>
        <w:rPr>
          <w:rFonts w:ascii="宋体" w:eastAsia="宋体" w:hAnsi="宋体" w:cs="宋体" w:hint="eastAsia"/>
          <w:b/>
          <w:bCs/>
          <w:szCs w:val="21"/>
        </w:rPr>
      </w:pPr>
      <w:r>
        <w:rPr>
          <w:rFonts w:ascii="宋体" w:eastAsia="宋体" w:hAnsi="宋体" w:cs="宋体" w:hint="eastAsia"/>
          <w:b/>
          <w:bCs/>
          <w:szCs w:val="21"/>
        </w:rPr>
        <w:t>标准主要技术内容</w:t>
      </w:r>
    </w:p>
    <w:p w14:paraId="530801DD" w14:textId="77777777" w:rsidR="00393E8B" w:rsidRDefault="00000000">
      <w:pPr>
        <w:spacing w:line="460" w:lineRule="exact"/>
        <w:rPr>
          <w:rFonts w:ascii="宋体" w:eastAsia="宋体" w:hAnsi="宋体" w:cs="宋体" w:hint="eastAsia"/>
          <w:b/>
          <w:bCs/>
          <w:szCs w:val="21"/>
        </w:rPr>
      </w:pPr>
      <w:r>
        <w:rPr>
          <w:rFonts w:ascii="宋体" w:eastAsia="宋体" w:hAnsi="宋体" w:cs="宋体" w:hint="eastAsia"/>
          <w:b/>
          <w:bCs/>
          <w:szCs w:val="21"/>
        </w:rPr>
        <w:t>1  与2002版对比，主要差异有如下几点：</w:t>
      </w:r>
    </w:p>
    <w:p w14:paraId="753C677B" w14:textId="77777777" w:rsidR="00393E8B" w:rsidRDefault="00000000">
      <w:pPr>
        <w:spacing w:line="360" w:lineRule="auto"/>
        <w:ind w:firstLineChars="200" w:firstLine="422"/>
        <w:rPr>
          <w:rFonts w:ascii="宋体" w:hAnsi="宋体" w:hint="eastAsia"/>
          <w:szCs w:val="21"/>
        </w:rPr>
      </w:pPr>
      <w:r>
        <w:rPr>
          <w:rFonts w:ascii="宋体" w:hAnsi="宋体"/>
          <w:b/>
          <w:bCs/>
          <w:szCs w:val="21"/>
        </w:rPr>
        <w:t>1）</w:t>
      </w:r>
      <w:r>
        <w:rPr>
          <w:rFonts w:ascii="宋体" w:hAnsi="宋体"/>
          <w:szCs w:val="21"/>
        </w:rPr>
        <w:t>加了引言，阐述了增加烧结金属摩擦材料表观洛氏硬度测定方法的意义。</w:t>
      </w:r>
    </w:p>
    <w:p w14:paraId="295ABE9D" w14:textId="77777777" w:rsidR="00393E8B" w:rsidRDefault="00000000">
      <w:pPr>
        <w:spacing w:line="360" w:lineRule="auto"/>
        <w:ind w:firstLineChars="200" w:firstLine="422"/>
        <w:rPr>
          <w:rFonts w:ascii="宋体" w:hAnsi="宋体" w:hint="eastAsia"/>
          <w:szCs w:val="21"/>
        </w:rPr>
      </w:pPr>
      <w:r>
        <w:rPr>
          <w:rFonts w:ascii="宋体" w:hAnsi="宋体"/>
          <w:b/>
          <w:bCs/>
          <w:szCs w:val="21"/>
        </w:rPr>
        <w:t>2）</w:t>
      </w:r>
      <w:r>
        <w:rPr>
          <w:rFonts w:ascii="宋体" w:hAnsi="宋体"/>
          <w:szCs w:val="21"/>
        </w:rPr>
        <w:t>修改了</w:t>
      </w:r>
      <w:r>
        <w:rPr>
          <w:rFonts w:ascii="宋体" w:hAnsi="宋体" w:hint="eastAsia"/>
          <w:szCs w:val="21"/>
        </w:rPr>
        <w:t>标准</w:t>
      </w:r>
      <w:r>
        <w:rPr>
          <w:rFonts w:ascii="宋体" w:hAnsi="宋体"/>
          <w:szCs w:val="21"/>
        </w:rPr>
        <w:t>的适用范围，增加了表观洛氏硬度的测定方法</w:t>
      </w:r>
      <w:r>
        <w:rPr>
          <w:rFonts w:ascii="宋体" w:hAnsi="宋体" w:hint="eastAsia"/>
          <w:szCs w:val="21"/>
        </w:rPr>
        <w:t>，</w:t>
      </w:r>
      <w:r>
        <w:rPr>
          <w:rFonts w:ascii="宋体" w:hAnsi="宋体"/>
          <w:szCs w:val="21"/>
        </w:rPr>
        <w:t>可选择更合理的硬度标尺及试验力，测定样品厚度由原来的0.7㎜减薄至0.5mm，</w:t>
      </w:r>
      <w:r>
        <w:rPr>
          <w:rFonts w:ascii="宋体" w:hAnsi="宋体" w:hint="eastAsia"/>
          <w:szCs w:val="21"/>
        </w:rPr>
        <w:t>扩大</w:t>
      </w:r>
      <w:r>
        <w:rPr>
          <w:rFonts w:ascii="宋体" w:hAnsi="宋体"/>
          <w:szCs w:val="21"/>
        </w:rPr>
        <w:t>了样品的测量范围（见</w:t>
      </w:r>
      <w:r>
        <w:rPr>
          <w:rFonts w:ascii="宋体" w:hAnsi="宋体" w:hint="eastAsia"/>
          <w:szCs w:val="21"/>
        </w:rPr>
        <w:t>标准</w:t>
      </w:r>
      <w:r>
        <w:rPr>
          <w:rFonts w:ascii="宋体" w:hAnsi="宋体"/>
          <w:szCs w:val="21"/>
        </w:rPr>
        <w:t>第1章</w:t>
      </w:r>
      <w:r>
        <w:rPr>
          <w:rFonts w:ascii="宋体" w:hAnsi="宋体" w:hint="eastAsia"/>
          <w:szCs w:val="21"/>
        </w:rPr>
        <w:t>）。</w:t>
      </w:r>
    </w:p>
    <w:p w14:paraId="194F5A4A" w14:textId="77777777" w:rsidR="00393E8B" w:rsidRDefault="00000000">
      <w:pPr>
        <w:spacing w:line="360" w:lineRule="auto"/>
        <w:ind w:firstLineChars="200" w:firstLine="422"/>
        <w:rPr>
          <w:rFonts w:ascii="宋体" w:hAnsi="宋体" w:hint="eastAsia"/>
          <w:szCs w:val="21"/>
        </w:rPr>
      </w:pPr>
      <w:r>
        <w:rPr>
          <w:rFonts w:ascii="宋体" w:hAnsi="宋体" w:hint="eastAsia"/>
          <w:b/>
          <w:bCs/>
          <w:szCs w:val="21"/>
        </w:rPr>
        <w:t>3）</w:t>
      </w:r>
      <w:r>
        <w:rPr>
          <w:rFonts w:ascii="宋体" w:hAnsi="宋体" w:hint="eastAsia"/>
          <w:szCs w:val="21"/>
        </w:rPr>
        <w:t>文本格式按照GB/T 1.1-20</w:t>
      </w:r>
      <w:r>
        <w:rPr>
          <w:rFonts w:ascii="宋体" w:hAnsi="宋体"/>
          <w:szCs w:val="21"/>
        </w:rPr>
        <w:t>20</w:t>
      </w:r>
      <w:r>
        <w:rPr>
          <w:rFonts w:ascii="宋体" w:hAnsi="宋体" w:hint="eastAsia"/>
          <w:szCs w:val="21"/>
        </w:rPr>
        <w:t>《标准化工作导则  第1部分：标准化文件的结构和起草规则》要求进行编写。</w:t>
      </w:r>
    </w:p>
    <w:p w14:paraId="144786C7" w14:textId="77777777" w:rsidR="00393E8B" w:rsidRDefault="00000000">
      <w:pPr>
        <w:spacing w:line="360" w:lineRule="auto"/>
        <w:ind w:firstLineChars="200" w:firstLine="422"/>
        <w:rPr>
          <w:rFonts w:ascii="宋体" w:hAnsi="宋体" w:hint="eastAsia"/>
          <w:szCs w:val="21"/>
        </w:rPr>
      </w:pPr>
      <w:r>
        <w:rPr>
          <w:rFonts w:ascii="宋体" w:hAnsi="宋体" w:hint="eastAsia"/>
          <w:b/>
          <w:bCs/>
          <w:szCs w:val="21"/>
        </w:rPr>
        <w:t>4）</w:t>
      </w:r>
      <w:r>
        <w:rPr>
          <w:rFonts w:ascii="宋体" w:hAnsi="宋体" w:hint="eastAsia"/>
          <w:szCs w:val="21"/>
        </w:rPr>
        <w:t>增加了规范性引用文件内容（见标准第2章）</w:t>
      </w:r>
    </w:p>
    <w:p w14:paraId="170A351F" w14:textId="77777777" w:rsidR="00393E8B" w:rsidRDefault="00000000">
      <w:pPr>
        <w:spacing w:line="360" w:lineRule="auto"/>
        <w:ind w:firstLineChars="200" w:firstLine="420"/>
        <w:rPr>
          <w:rFonts w:ascii="宋体" w:hAnsi="宋体" w:hint="eastAsia"/>
          <w:szCs w:val="21"/>
        </w:rPr>
      </w:pPr>
      <w:r>
        <w:rPr>
          <w:rFonts w:ascii="宋体" w:hAnsi="宋体" w:hint="eastAsia"/>
          <w:szCs w:val="21"/>
        </w:rPr>
        <w:t>增加了GB/T230.1《金属材料 洛氏硬度试验 第1部分：试验方法》、GB/T230.2《金属材料 洛氏硬度试验 第2部分：硬度计及压头的检验与校准》、GB/T231.1《金属材料 布氏硬度试验 第1部分：试验方法》、GB/T231.2《金属材料 布氏硬度试验 第2部分：硬度计的检验与校准》、GB/T231.4《金属材料 布氏硬度试验 第4部分：硬度值表》、增加了GB/T 8170《数值修约规则与极限数值的表示和判定》、JJG150《金属布氏硬度计检定规程》、JJG112《金属洛氏硬度计检定规程》、JJG884《塑料洛氏硬度计检定规程》等规范性引用文件。</w:t>
      </w:r>
    </w:p>
    <w:p w14:paraId="7DA49BE8" w14:textId="77777777" w:rsidR="00393E8B" w:rsidRDefault="00000000">
      <w:pPr>
        <w:spacing w:line="360" w:lineRule="auto"/>
        <w:ind w:firstLineChars="200" w:firstLine="422"/>
        <w:rPr>
          <w:rFonts w:ascii="宋体" w:hAnsi="宋体" w:hint="eastAsia"/>
          <w:szCs w:val="21"/>
        </w:rPr>
      </w:pPr>
      <w:r>
        <w:rPr>
          <w:rFonts w:ascii="宋体" w:hAnsi="宋体" w:hint="eastAsia"/>
          <w:b/>
          <w:bCs/>
          <w:szCs w:val="21"/>
        </w:rPr>
        <w:t>5）</w:t>
      </w:r>
      <w:r>
        <w:rPr>
          <w:rFonts w:ascii="宋体" w:hAnsi="宋体" w:hint="eastAsia"/>
          <w:szCs w:val="21"/>
        </w:rPr>
        <w:t>增加了“术语和定义”（见标准第3章）。</w:t>
      </w:r>
    </w:p>
    <w:p w14:paraId="2EFE1595" w14:textId="77777777" w:rsidR="00393E8B" w:rsidRDefault="00000000">
      <w:pPr>
        <w:spacing w:line="360" w:lineRule="auto"/>
        <w:ind w:firstLineChars="200" w:firstLine="422"/>
        <w:rPr>
          <w:rFonts w:ascii="宋体" w:hAnsi="宋体" w:hint="eastAsia"/>
          <w:szCs w:val="21"/>
        </w:rPr>
      </w:pPr>
      <w:r>
        <w:rPr>
          <w:rFonts w:ascii="宋体" w:hAnsi="宋体" w:hint="eastAsia"/>
          <w:b/>
          <w:bCs/>
          <w:szCs w:val="21"/>
        </w:rPr>
        <w:t>6）</w:t>
      </w:r>
      <w:r>
        <w:rPr>
          <w:rFonts w:ascii="宋体" w:hAnsi="宋体" w:hint="eastAsia"/>
          <w:szCs w:val="21"/>
        </w:rPr>
        <w:t>增加了“符号和说明”（见标准第4章）。</w:t>
      </w:r>
    </w:p>
    <w:p w14:paraId="648ECA2C" w14:textId="77777777" w:rsidR="00393E8B" w:rsidRDefault="00000000">
      <w:pPr>
        <w:spacing w:line="360" w:lineRule="auto"/>
        <w:ind w:firstLineChars="200" w:firstLine="420"/>
        <w:rPr>
          <w:rFonts w:ascii="宋体" w:hAnsi="Times New Roman"/>
          <w:bCs/>
          <w:kern w:val="0"/>
          <w:szCs w:val="20"/>
        </w:rPr>
      </w:pPr>
      <w:r>
        <w:rPr>
          <w:rFonts w:hint="eastAsia"/>
          <w:bCs/>
        </w:rPr>
        <w:lastRenderedPageBreak/>
        <w:t>为了便于新标准理解使用，标准将布氏硬度、</w:t>
      </w:r>
      <w:r>
        <w:rPr>
          <w:rFonts w:ascii="宋体" w:hAnsi="Times New Roman" w:hint="eastAsia"/>
          <w:bCs/>
          <w:kern w:val="0"/>
          <w:szCs w:val="20"/>
        </w:rPr>
        <w:t>洛氏硬度的</w:t>
      </w:r>
      <w:r>
        <w:rPr>
          <w:rFonts w:hint="eastAsia"/>
          <w:bCs/>
        </w:rPr>
        <w:t>符号、缩写术语和计算方法列入表</w:t>
      </w:r>
      <w:r>
        <w:rPr>
          <w:rFonts w:hint="eastAsia"/>
          <w:bCs/>
        </w:rPr>
        <w:t>1</w:t>
      </w:r>
      <w:r>
        <w:rPr>
          <w:rFonts w:hint="eastAsia"/>
          <w:bCs/>
        </w:rPr>
        <w:t>、</w:t>
      </w:r>
      <w:r>
        <w:rPr>
          <w:rFonts w:ascii="宋体" w:hAnsi="Times New Roman" w:hint="eastAsia"/>
          <w:bCs/>
          <w:kern w:val="0"/>
          <w:szCs w:val="20"/>
        </w:rPr>
        <w:t>表2。标准将</w:t>
      </w:r>
      <w:r>
        <w:rPr>
          <w:rFonts w:hint="eastAsia"/>
        </w:rPr>
        <w:t>布氏硬度</w:t>
      </w:r>
      <w:r>
        <w:rPr>
          <w:rFonts w:hint="eastAsia"/>
          <w:bCs/>
        </w:rPr>
        <w:t>、</w:t>
      </w:r>
      <w:r>
        <w:rPr>
          <w:rFonts w:ascii="宋体" w:hAnsi="Times New Roman" w:hint="eastAsia"/>
          <w:bCs/>
          <w:kern w:val="0"/>
          <w:szCs w:val="20"/>
        </w:rPr>
        <w:t>洛氏硬度</w:t>
      </w:r>
      <w:r>
        <w:rPr>
          <w:rFonts w:hint="eastAsia"/>
        </w:rPr>
        <w:t>表达方法做了示例</w:t>
      </w:r>
      <w:r>
        <w:rPr>
          <w:rFonts w:ascii="宋体" w:hAnsi="宋体" w:hint="eastAsia"/>
          <w:szCs w:val="21"/>
        </w:rPr>
        <w:t>（见标准4.2）</w:t>
      </w:r>
    </w:p>
    <w:p w14:paraId="54EEDA0B" w14:textId="77777777" w:rsidR="00393E8B" w:rsidRDefault="00000000">
      <w:pPr>
        <w:spacing w:line="360" w:lineRule="auto"/>
        <w:ind w:firstLineChars="200" w:firstLine="420"/>
        <w:jc w:val="center"/>
        <w:rPr>
          <w:rFonts w:ascii="宋体" w:hAnsi="Times New Roman"/>
          <w:bCs/>
          <w:kern w:val="0"/>
          <w:szCs w:val="20"/>
        </w:rPr>
      </w:pPr>
      <w:r>
        <w:rPr>
          <w:rFonts w:ascii="宋体" w:hAnsi="Times New Roman" w:hint="eastAsia"/>
          <w:bCs/>
          <w:kern w:val="0"/>
          <w:szCs w:val="20"/>
        </w:rPr>
        <w:t>表1</w:t>
      </w:r>
    </w:p>
    <w:p w14:paraId="6A2FAC96" w14:textId="77777777" w:rsidR="00393E8B" w:rsidRDefault="00000000">
      <w:pPr>
        <w:spacing w:line="360" w:lineRule="auto"/>
        <w:ind w:firstLineChars="200" w:firstLine="420"/>
        <w:jc w:val="center"/>
        <w:rPr>
          <w:rFonts w:ascii="宋体" w:hAnsi="Times New Roman"/>
          <w:bCs/>
          <w:kern w:val="0"/>
          <w:szCs w:val="20"/>
        </w:rPr>
      </w:pPr>
      <w:r>
        <w:rPr>
          <w:noProof/>
        </w:rPr>
        <w:drawing>
          <wp:inline distT="0" distB="0" distL="114300" distR="114300" wp14:anchorId="78EB8C40" wp14:editId="7F707ACB">
            <wp:extent cx="4238625" cy="4086225"/>
            <wp:effectExtent l="0" t="0" r="9525" b="9525"/>
            <wp:docPr id="12" name="图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图片 7"/>
                    <pic:cNvPicPr>
                      <a:picLocks noChangeAspect="1"/>
                    </pic:cNvPicPr>
                  </pic:nvPicPr>
                  <pic:blipFill>
                    <a:blip r:embed="rId9"/>
                    <a:stretch>
                      <a:fillRect/>
                    </a:stretch>
                  </pic:blipFill>
                  <pic:spPr>
                    <a:xfrm>
                      <a:off x="0" y="0"/>
                      <a:ext cx="4238625" cy="4086225"/>
                    </a:xfrm>
                    <a:prstGeom prst="rect">
                      <a:avLst/>
                    </a:prstGeom>
                    <a:noFill/>
                    <a:ln>
                      <a:noFill/>
                    </a:ln>
                  </pic:spPr>
                </pic:pic>
              </a:graphicData>
            </a:graphic>
          </wp:inline>
        </w:drawing>
      </w:r>
    </w:p>
    <w:p w14:paraId="41FCF978" w14:textId="77777777" w:rsidR="00393E8B" w:rsidRDefault="00393E8B">
      <w:pPr>
        <w:spacing w:line="360" w:lineRule="auto"/>
        <w:ind w:firstLineChars="200" w:firstLine="420"/>
        <w:jc w:val="center"/>
        <w:rPr>
          <w:rFonts w:ascii="宋体" w:hAnsi="宋体" w:hint="eastAsia"/>
          <w:szCs w:val="21"/>
        </w:rPr>
      </w:pPr>
    </w:p>
    <w:p w14:paraId="20FB378E" w14:textId="77777777" w:rsidR="00393E8B" w:rsidRDefault="00000000">
      <w:pPr>
        <w:spacing w:line="360" w:lineRule="auto"/>
        <w:ind w:firstLineChars="200" w:firstLine="420"/>
        <w:jc w:val="center"/>
        <w:rPr>
          <w:rFonts w:ascii="宋体" w:hAnsi="宋体" w:hint="eastAsia"/>
          <w:szCs w:val="21"/>
        </w:rPr>
      </w:pPr>
      <w:r>
        <w:rPr>
          <w:rFonts w:ascii="宋体" w:hAnsi="宋体" w:hint="eastAsia"/>
          <w:szCs w:val="21"/>
        </w:rPr>
        <w:t>表2</w:t>
      </w:r>
    </w:p>
    <w:p w14:paraId="608EF696" w14:textId="77777777" w:rsidR="00393E8B" w:rsidRDefault="00000000">
      <w:pPr>
        <w:spacing w:line="360" w:lineRule="auto"/>
        <w:ind w:firstLineChars="200" w:firstLine="420"/>
        <w:jc w:val="center"/>
        <w:rPr>
          <w:rFonts w:ascii="宋体" w:hAnsi="宋体" w:hint="eastAsia"/>
          <w:szCs w:val="21"/>
        </w:rPr>
      </w:pPr>
      <w:r>
        <w:rPr>
          <w:noProof/>
        </w:rPr>
        <w:drawing>
          <wp:inline distT="0" distB="0" distL="114300" distR="114300" wp14:anchorId="1923AE37" wp14:editId="08DF4030">
            <wp:extent cx="4524375" cy="3533775"/>
            <wp:effectExtent l="0" t="0" r="9525" b="9525"/>
            <wp:docPr id="14" name="图片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图片 9"/>
                    <pic:cNvPicPr>
                      <a:picLocks noChangeAspect="1"/>
                    </pic:cNvPicPr>
                  </pic:nvPicPr>
                  <pic:blipFill>
                    <a:blip r:embed="rId10"/>
                    <a:stretch>
                      <a:fillRect/>
                    </a:stretch>
                  </pic:blipFill>
                  <pic:spPr>
                    <a:xfrm>
                      <a:off x="0" y="0"/>
                      <a:ext cx="4524375" cy="3533775"/>
                    </a:xfrm>
                    <a:prstGeom prst="rect">
                      <a:avLst/>
                    </a:prstGeom>
                    <a:noFill/>
                    <a:ln>
                      <a:noFill/>
                    </a:ln>
                  </pic:spPr>
                </pic:pic>
              </a:graphicData>
            </a:graphic>
          </wp:inline>
        </w:drawing>
      </w:r>
    </w:p>
    <w:p w14:paraId="6796B494" w14:textId="77777777" w:rsidR="00393E8B" w:rsidRDefault="00000000">
      <w:pPr>
        <w:numPr>
          <w:ilvl w:val="0"/>
          <w:numId w:val="3"/>
        </w:numPr>
        <w:spacing w:line="360" w:lineRule="auto"/>
        <w:ind w:firstLineChars="200" w:firstLine="420"/>
        <w:rPr>
          <w:rFonts w:ascii="宋体" w:hAnsi="宋体" w:hint="eastAsia"/>
          <w:szCs w:val="21"/>
        </w:rPr>
      </w:pPr>
      <w:r>
        <w:rPr>
          <w:rFonts w:ascii="宋体" w:hAnsi="宋体" w:hint="eastAsia"/>
          <w:szCs w:val="21"/>
        </w:rPr>
        <w:lastRenderedPageBreak/>
        <w:t>增加了“原理”一章（见标准第5章）。</w:t>
      </w:r>
    </w:p>
    <w:p w14:paraId="1B9A74AC" w14:textId="77777777" w:rsidR="00393E8B" w:rsidRDefault="00000000">
      <w:pPr>
        <w:spacing w:line="360" w:lineRule="auto"/>
        <w:ind w:firstLineChars="200" w:firstLine="420"/>
        <w:rPr>
          <w:rFonts w:ascii="宋体" w:hAnsi="宋体" w:hint="eastAsia"/>
          <w:szCs w:val="21"/>
        </w:rPr>
      </w:pPr>
      <w:r>
        <w:rPr>
          <w:rFonts w:ascii="宋体" w:hAnsi="宋体" w:hint="eastAsia"/>
          <w:szCs w:val="21"/>
        </w:rPr>
        <w:t>将试验原理单独成章，绘制</w:t>
      </w:r>
      <w:r>
        <w:rPr>
          <w:rFonts w:hint="eastAsia"/>
          <w:bCs/>
        </w:rPr>
        <w:t>布氏硬度、</w:t>
      </w:r>
      <w:r>
        <w:rPr>
          <w:rFonts w:ascii="宋体" w:hAnsi="Times New Roman" w:hint="eastAsia"/>
          <w:bCs/>
          <w:kern w:val="0"/>
          <w:szCs w:val="20"/>
        </w:rPr>
        <w:t>洛氏硬度试验过程原理图1图，</w:t>
      </w:r>
      <w:r>
        <w:rPr>
          <w:rFonts w:ascii="宋体" w:hAnsi="宋体" w:hint="eastAsia"/>
          <w:szCs w:val="21"/>
        </w:rPr>
        <w:t>便于技术人员对测试过程的理解，有利于标准的贯彻实施。</w:t>
      </w:r>
    </w:p>
    <w:p w14:paraId="0F7ABB56" w14:textId="77777777" w:rsidR="00393E8B" w:rsidRDefault="00000000">
      <w:pPr>
        <w:spacing w:line="360" w:lineRule="auto"/>
        <w:ind w:left="840" w:hangingChars="400" w:hanging="840"/>
        <w:rPr>
          <w:sz w:val="18"/>
        </w:rPr>
      </w:pPr>
      <w:r>
        <w:rPr>
          <w:noProof/>
        </w:rPr>
        <w:drawing>
          <wp:inline distT="0" distB="0" distL="114300" distR="114300" wp14:anchorId="77AE1A7F" wp14:editId="6D3B68A7">
            <wp:extent cx="2070100" cy="2066290"/>
            <wp:effectExtent l="0" t="0" r="0" b="0"/>
            <wp:docPr id="2"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1"/>
                    <pic:cNvPicPr>
                      <a:picLocks noChangeAspect="1"/>
                    </pic:cNvPicPr>
                  </pic:nvPicPr>
                  <pic:blipFill>
                    <a:blip r:embed="rId11"/>
                    <a:srcRect b="4350"/>
                    <a:stretch>
                      <a:fillRect/>
                    </a:stretch>
                  </pic:blipFill>
                  <pic:spPr>
                    <a:xfrm>
                      <a:off x="0" y="0"/>
                      <a:ext cx="2070100" cy="2066290"/>
                    </a:xfrm>
                    <a:prstGeom prst="rect">
                      <a:avLst/>
                    </a:prstGeom>
                    <a:noFill/>
                    <a:ln>
                      <a:noFill/>
                    </a:ln>
                  </pic:spPr>
                </pic:pic>
              </a:graphicData>
            </a:graphic>
          </wp:inline>
        </w:drawing>
      </w:r>
      <w:r>
        <w:rPr>
          <w:rFonts w:hint="eastAsia"/>
        </w:rPr>
        <w:t xml:space="preserve">       </w:t>
      </w:r>
      <w:r>
        <w:rPr>
          <w:noProof/>
        </w:rPr>
        <w:drawing>
          <wp:inline distT="0" distB="0" distL="114300" distR="114300" wp14:anchorId="1B2ACBE0" wp14:editId="53DC17EE">
            <wp:extent cx="3529965" cy="2160270"/>
            <wp:effectExtent l="0" t="0" r="13335" b="11430"/>
            <wp:docPr id="3"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2"/>
                    <pic:cNvPicPr>
                      <a:picLocks noChangeAspect="1"/>
                    </pic:cNvPicPr>
                  </pic:nvPicPr>
                  <pic:blipFill>
                    <a:blip r:embed="rId12"/>
                    <a:stretch>
                      <a:fillRect/>
                    </a:stretch>
                  </pic:blipFill>
                  <pic:spPr>
                    <a:xfrm>
                      <a:off x="0" y="0"/>
                      <a:ext cx="3529965" cy="2160270"/>
                    </a:xfrm>
                    <a:prstGeom prst="rect">
                      <a:avLst/>
                    </a:prstGeom>
                    <a:noFill/>
                    <a:ln>
                      <a:noFill/>
                    </a:ln>
                  </pic:spPr>
                </pic:pic>
              </a:graphicData>
            </a:graphic>
          </wp:inline>
        </w:drawing>
      </w:r>
      <w:r>
        <w:rPr>
          <w:rFonts w:hint="eastAsia"/>
          <w:sz w:val="18"/>
        </w:rPr>
        <w:t xml:space="preserve"> </w:t>
      </w:r>
    </w:p>
    <w:p w14:paraId="72718557" w14:textId="77777777" w:rsidR="00393E8B" w:rsidRDefault="00000000">
      <w:pPr>
        <w:spacing w:line="360" w:lineRule="auto"/>
        <w:ind w:leftChars="340" w:left="714"/>
        <w:rPr>
          <w:sz w:val="18"/>
        </w:rPr>
      </w:pPr>
      <w:r>
        <w:rPr>
          <w:rFonts w:hint="eastAsia"/>
          <w:sz w:val="18"/>
        </w:rPr>
        <w:t>图</w:t>
      </w:r>
      <w:r>
        <w:rPr>
          <w:rFonts w:hint="eastAsia"/>
          <w:sz w:val="18"/>
        </w:rPr>
        <w:t xml:space="preserve">1 </w:t>
      </w:r>
      <w:r>
        <w:rPr>
          <w:rFonts w:hint="eastAsia"/>
          <w:sz w:val="18"/>
        </w:rPr>
        <w:t>布氏硬度试验原理图</w:t>
      </w:r>
      <w:r>
        <w:rPr>
          <w:rFonts w:hint="eastAsia"/>
          <w:sz w:val="18"/>
        </w:rPr>
        <w:t xml:space="preserve">                         </w:t>
      </w:r>
      <w:r>
        <w:rPr>
          <w:rFonts w:hint="eastAsia"/>
          <w:sz w:val="18"/>
        </w:rPr>
        <w:t>图</w:t>
      </w:r>
      <w:r>
        <w:rPr>
          <w:rFonts w:hint="eastAsia"/>
          <w:sz w:val="18"/>
        </w:rPr>
        <w:t xml:space="preserve">2 </w:t>
      </w:r>
      <w:r>
        <w:rPr>
          <w:rFonts w:hint="eastAsia"/>
          <w:sz w:val="18"/>
        </w:rPr>
        <w:t>洛氏硬度</w:t>
      </w:r>
      <w:r>
        <w:rPr>
          <w:rFonts w:hint="eastAsia"/>
          <w:sz w:val="18"/>
        </w:rPr>
        <w:t>HRL</w:t>
      </w:r>
      <w:r>
        <w:rPr>
          <w:rFonts w:hint="eastAsia"/>
          <w:sz w:val="18"/>
        </w:rPr>
        <w:t>、</w:t>
      </w:r>
      <w:r>
        <w:rPr>
          <w:rFonts w:hint="eastAsia"/>
          <w:sz w:val="18"/>
        </w:rPr>
        <w:t>HRM</w:t>
      </w:r>
      <w:r>
        <w:rPr>
          <w:rFonts w:hint="eastAsia"/>
          <w:sz w:val="18"/>
        </w:rPr>
        <w:t>、</w:t>
      </w:r>
      <w:r>
        <w:rPr>
          <w:rFonts w:hint="eastAsia"/>
          <w:sz w:val="18"/>
        </w:rPr>
        <w:t>HRR</w:t>
      </w:r>
      <w:r>
        <w:rPr>
          <w:rFonts w:hint="eastAsia"/>
          <w:sz w:val="18"/>
        </w:rPr>
        <w:t>试验原理图</w:t>
      </w:r>
    </w:p>
    <w:p w14:paraId="0815562A" w14:textId="77777777" w:rsidR="00393E8B" w:rsidRDefault="00393E8B">
      <w:pPr>
        <w:spacing w:line="360" w:lineRule="auto"/>
        <w:ind w:leftChars="340" w:left="714"/>
        <w:rPr>
          <w:sz w:val="18"/>
        </w:rPr>
      </w:pPr>
    </w:p>
    <w:p w14:paraId="359750F7" w14:textId="77777777" w:rsidR="00393E8B" w:rsidRDefault="00000000">
      <w:pPr>
        <w:spacing w:line="360" w:lineRule="auto"/>
        <w:ind w:leftChars="340" w:left="714"/>
        <w:rPr>
          <w:sz w:val="18"/>
        </w:rPr>
      </w:pPr>
      <w:r>
        <w:rPr>
          <w:noProof/>
        </w:rPr>
        <w:drawing>
          <wp:inline distT="0" distB="0" distL="114300" distR="114300" wp14:anchorId="3D8EF135" wp14:editId="2FC85FBD">
            <wp:extent cx="3135630" cy="2021840"/>
            <wp:effectExtent l="0" t="0" r="7620" b="16510"/>
            <wp:docPr id="4"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3"/>
                    <pic:cNvPicPr>
                      <a:picLocks noChangeAspect="1"/>
                    </pic:cNvPicPr>
                  </pic:nvPicPr>
                  <pic:blipFill>
                    <a:blip r:embed="rId13"/>
                    <a:srcRect b="6408"/>
                    <a:stretch>
                      <a:fillRect/>
                    </a:stretch>
                  </pic:blipFill>
                  <pic:spPr>
                    <a:xfrm>
                      <a:off x="0" y="0"/>
                      <a:ext cx="3135630" cy="2021840"/>
                    </a:xfrm>
                    <a:prstGeom prst="rect">
                      <a:avLst/>
                    </a:prstGeom>
                    <a:noFill/>
                    <a:ln>
                      <a:noFill/>
                    </a:ln>
                  </pic:spPr>
                </pic:pic>
              </a:graphicData>
            </a:graphic>
          </wp:inline>
        </w:drawing>
      </w:r>
    </w:p>
    <w:p w14:paraId="0909E70E" w14:textId="77777777" w:rsidR="00393E8B" w:rsidRDefault="00000000">
      <w:pPr>
        <w:pStyle w:val="a9"/>
        <w:ind w:firstLineChars="600" w:firstLine="1080"/>
      </w:pPr>
      <w:r>
        <w:rPr>
          <w:rFonts w:hint="eastAsia"/>
          <w:sz w:val="18"/>
        </w:rPr>
        <w:t>图3 表面洛氏硬度HR15X、HR15Y试验原理图</w:t>
      </w:r>
    </w:p>
    <w:p w14:paraId="5BF1B6F6" w14:textId="77777777" w:rsidR="00393E8B" w:rsidRDefault="00393E8B">
      <w:pPr>
        <w:spacing w:line="360" w:lineRule="auto"/>
      </w:pPr>
    </w:p>
    <w:p w14:paraId="6304E204" w14:textId="77777777" w:rsidR="00393E8B" w:rsidRDefault="00000000">
      <w:pPr>
        <w:numPr>
          <w:ilvl w:val="0"/>
          <w:numId w:val="3"/>
        </w:numPr>
        <w:spacing w:line="360" w:lineRule="auto"/>
        <w:ind w:firstLineChars="200" w:firstLine="420"/>
        <w:rPr>
          <w:rFonts w:ascii="宋体" w:hAnsi="宋体" w:hint="eastAsia"/>
          <w:szCs w:val="21"/>
        </w:rPr>
      </w:pPr>
      <w:r>
        <w:rPr>
          <w:rFonts w:ascii="宋体" w:hAnsi="宋体" w:hint="eastAsia"/>
          <w:szCs w:val="21"/>
        </w:rPr>
        <w:t>将“试验设备”更改为“仪器设备”（见标准第6章，2002年版的第3章）。</w:t>
      </w:r>
    </w:p>
    <w:p w14:paraId="4D5FADCF" w14:textId="77777777" w:rsidR="00393E8B" w:rsidRDefault="00000000">
      <w:pPr>
        <w:spacing w:line="360" w:lineRule="auto"/>
        <w:ind w:leftChars="200" w:left="420"/>
        <w:rPr>
          <w:rFonts w:ascii="宋体" w:hAnsi="宋体" w:hint="eastAsia"/>
          <w:szCs w:val="21"/>
        </w:rPr>
      </w:pPr>
      <w:r>
        <w:rPr>
          <w:rFonts w:ascii="宋体" w:hAnsi="宋体" w:hint="eastAsia"/>
          <w:szCs w:val="21"/>
        </w:rPr>
        <w:t>重新编写了仪器设备，对表观布氏硬度和表观洛氏硬度试验所采用的硬度计和球形压头规定了相应要求。</w:t>
      </w:r>
    </w:p>
    <w:p w14:paraId="6A9BCFCA" w14:textId="77777777" w:rsidR="00393E8B" w:rsidRDefault="00000000">
      <w:pPr>
        <w:numPr>
          <w:ilvl w:val="0"/>
          <w:numId w:val="3"/>
        </w:numPr>
        <w:spacing w:line="360" w:lineRule="auto"/>
        <w:ind w:firstLineChars="200" w:firstLine="420"/>
        <w:rPr>
          <w:rFonts w:ascii="宋体" w:hAnsi="宋体" w:hint="eastAsia"/>
          <w:szCs w:val="21"/>
        </w:rPr>
      </w:pPr>
      <w:r>
        <w:rPr>
          <w:rFonts w:ascii="宋体" w:hAnsi="宋体" w:hint="eastAsia"/>
          <w:szCs w:val="21"/>
        </w:rPr>
        <w:t>将“试样制备”更改为“样品”（见标准第7章，2002年版的第4章）。</w:t>
      </w:r>
    </w:p>
    <w:p w14:paraId="767F604E" w14:textId="77777777" w:rsidR="00393E8B" w:rsidRDefault="00000000">
      <w:pPr>
        <w:spacing w:line="360" w:lineRule="auto"/>
        <w:ind w:leftChars="200" w:left="420"/>
        <w:rPr>
          <w:rFonts w:ascii="宋体" w:hAnsi="宋体" w:hint="eastAsia"/>
          <w:szCs w:val="21"/>
        </w:rPr>
      </w:pPr>
      <w:r>
        <w:rPr>
          <w:rFonts w:ascii="宋体" w:hAnsi="宋体" w:hint="eastAsia"/>
          <w:szCs w:val="21"/>
        </w:rPr>
        <w:t>删除了“对于带芯板的烧结金属摩擦片，摩擦层厚度应不小于压痕深度的5倍，增加了制备样品的具体</w:t>
      </w:r>
    </w:p>
    <w:p w14:paraId="0F9E8E12" w14:textId="77777777" w:rsidR="00393E8B" w:rsidRDefault="00000000">
      <w:pPr>
        <w:spacing w:line="360" w:lineRule="auto"/>
        <w:rPr>
          <w:rFonts w:ascii="宋体" w:hAnsi="宋体" w:hint="eastAsia"/>
          <w:szCs w:val="21"/>
        </w:rPr>
      </w:pPr>
      <w:r>
        <w:rPr>
          <w:rFonts w:ascii="宋体" w:hAnsi="宋体" w:hint="eastAsia"/>
          <w:szCs w:val="21"/>
        </w:rPr>
        <w:t>要求。</w:t>
      </w:r>
    </w:p>
    <w:p w14:paraId="50BCF439" w14:textId="77777777" w:rsidR="00393E8B" w:rsidRDefault="00000000">
      <w:pPr>
        <w:numPr>
          <w:ilvl w:val="0"/>
          <w:numId w:val="3"/>
        </w:numPr>
        <w:spacing w:line="360" w:lineRule="auto"/>
        <w:ind w:firstLineChars="200" w:firstLine="420"/>
        <w:rPr>
          <w:rFonts w:ascii="宋体" w:hAnsi="宋体" w:hint="eastAsia"/>
          <w:szCs w:val="21"/>
        </w:rPr>
      </w:pPr>
      <w:r>
        <w:rPr>
          <w:rFonts w:ascii="宋体" w:hAnsi="宋体" w:hint="eastAsia"/>
          <w:szCs w:val="21"/>
        </w:rPr>
        <w:t>将“试样方法”更改为“试验步骤”，更改了表1和试验方法内容</w:t>
      </w:r>
      <w:r>
        <w:rPr>
          <w:rFonts w:ascii="宋体" w:hAnsi="宋体" w:hint="eastAsia"/>
          <w:sz w:val="24"/>
        </w:rPr>
        <w:t>（</w:t>
      </w:r>
      <w:r>
        <w:rPr>
          <w:rFonts w:ascii="宋体" w:hAnsi="宋体" w:hint="eastAsia"/>
          <w:szCs w:val="21"/>
        </w:rPr>
        <w:t>见标准第8章，见2002年版的第5章）。</w:t>
      </w:r>
    </w:p>
    <w:p w14:paraId="7BF20492" w14:textId="77777777" w:rsidR="00393E8B" w:rsidRDefault="00000000">
      <w:pPr>
        <w:spacing w:line="360" w:lineRule="auto"/>
        <w:ind w:firstLineChars="200" w:firstLine="420"/>
        <w:rPr>
          <w:rFonts w:ascii="宋体" w:hAnsi="宋体" w:hint="eastAsia"/>
          <w:szCs w:val="21"/>
        </w:rPr>
      </w:pPr>
      <w:r>
        <w:rPr>
          <w:rFonts w:ascii="宋体" w:hAnsi="宋体" w:hint="eastAsia"/>
          <w:szCs w:val="21"/>
        </w:rPr>
        <w:t>增加了试验步骤，对表观布氏硬度、表观洛氏硬度试验的试验方法及注意事项作了更为详细的描述，见表3。</w:t>
      </w:r>
    </w:p>
    <w:p w14:paraId="0EA65B64" w14:textId="77777777" w:rsidR="00393E8B" w:rsidRDefault="00393E8B">
      <w:pPr>
        <w:pStyle w:val="a"/>
        <w:numPr>
          <w:ilvl w:val="0"/>
          <w:numId w:val="0"/>
        </w:numPr>
        <w:tabs>
          <w:tab w:val="clear" w:pos="851"/>
        </w:tabs>
        <w:jc w:val="center"/>
        <w:rPr>
          <w:b/>
        </w:rPr>
      </w:pPr>
    </w:p>
    <w:p w14:paraId="1F0CB2AB" w14:textId="77777777" w:rsidR="00393E8B" w:rsidRDefault="00000000">
      <w:pPr>
        <w:pStyle w:val="a"/>
        <w:numPr>
          <w:ilvl w:val="0"/>
          <w:numId w:val="0"/>
        </w:numPr>
        <w:tabs>
          <w:tab w:val="clear" w:pos="851"/>
        </w:tabs>
        <w:jc w:val="center"/>
        <w:rPr>
          <w:rFonts w:hAnsi="宋体" w:hint="eastAsia"/>
          <w:szCs w:val="21"/>
        </w:rPr>
      </w:pPr>
      <w:r>
        <w:rPr>
          <w:rFonts w:hint="eastAsia"/>
          <w:b/>
        </w:rPr>
        <w:lastRenderedPageBreak/>
        <w:t>表3 布氏硬度试验用碳化钨球直径与试验力参数表</w:t>
      </w:r>
    </w:p>
    <w:p w14:paraId="452F0B75" w14:textId="77777777" w:rsidR="00393E8B" w:rsidRDefault="00000000">
      <w:pPr>
        <w:spacing w:line="360" w:lineRule="auto"/>
        <w:ind w:firstLineChars="200" w:firstLine="420"/>
        <w:jc w:val="center"/>
      </w:pPr>
      <w:r>
        <w:rPr>
          <w:noProof/>
        </w:rPr>
        <w:drawing>
          <wp:inline distT="0" distB="0" distL="114300" distR="114300" wp14:anchorId="350D9533" wp14:editId="6521A090">
            <wp:extent cx="5556250" cy="3959860"/>
            <wp:effectExtent l="0" t="0" r="6350" b="2540"/>
            <wp:docPr id="9"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4"/>
                    <pic:cNvPicPr>
                      <a:picLocks noChangeAspect="1"/>
                    </pic:cNvPicPr>
                  </pic:nvPicPr>
                  <pic:blipFill>
                    <a:blip r:embed="rId14"/>
                    <a:srcRect t="3651"/>
                    <a:stretch>
                      <a:fillRect/>
                    </a:stretch>
                  </pic:blipFill>
                  <pic:spPr>
                    <a:xfrm>
                      <a:off x="0" y="0"/>
                      <a:ext cx="5556250" cy="3959860"/>
                    </a:xfrm>
                    <a:prstGeom prst="rect">
                      <a:avLst/>
                    </a:prstGeom>
                    <a:noFill/>
                    <a:ln>
                      <a:noFill/>
                    </a:ln>
                  </pic:spPr>
                </pic:pic>
              </a:graphicData>
            </a:graphic>
          </wp:inline>
        </w:drawing>
      </w:r>
    </w:p>
    <w:p w14:paraId="38D77054" w14:textId="77777777" w:rsidR="00393E8B" w:rsidRDefault="00000000">
      <w:pPr>
        <w:pStyle w:val="a"/>
        <w:numPr>
          <w:ilvl w:val="0"/>
          <w:numId w:val="0"/>
        </w:numPr>
        <w:tabs>
          <w:tab w:val="clear" w:pos="851"/>
        </w:tabs>
        <w:spacing w:line="360" w:lineRule="auto"/>
        <w:ind w:firstLineChars="200" w:firstLine="420"/>
      </w:pPr>
      <w:r>
        <w:rPr>
          <w:rFonts w:hAnsi="宋体" w:hint="eastAsia"/>
          <w:szCs w:val="21"/>
        </w:rPr>
        <w:t>增加了</w:t>
      </w:r>
      <w:r>
        <w:rPr>
          <w:rFonts w:hint="eastAsia"/>
        </w:rPr>
        <w:t>洛氏硬度试验选择HRL、HRM、HRR标尺时，可按样品材质预期硬度值参照表4选择相应直径的压头及试验力。</w:t>
      </w:r>
    </w:p>
    <w:p w14:paraId="3BFD24C7" w14:textId="77777777" w:rsidR="00393E8B" w:rsidRDefault="00000000">
      <w:pPr>
        <w:pStyle w:val="a"/>
        <w:numPr>
          <w:ilvl w:val="0"/>
          <w:numId w:val="0"/>
        </w:numPr>
        <w:tabs>
          <w:tab w:val="clear" w:pos="851"/>
        </w:tabs>
        <w:spacing w:line="360" w:lineRule="auto"/>
        <w:ind w:firstLineChars="200" w:firstLine="420"/>
      </w:pPr>
      <w:r>
        <w:rPr>
          <w:noProof/>
        </w:rPr>
        <w:drawing>
          <wp:inline distT="0" distB="0" distL="114300" distR="114300" wp14:anchorId="5619A8C0" wp14:editId="316BB1EE">
            <wp:extent cx="5972175" cy="1362075"/>
            <wp:effectExtent l="0" t="0" r="9525" b="9525"/>
            <wp:docPr id="10"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图片 5"/>
                    <pic:cNvPicPr>
                      <a:picLocks noChangeAspect="1"/>
                    </pic:cNvPicPr>
                  </pic:nvPicPr>
                  <pic:blipFill>
                    <a:blip r:embed="rId15"/>
                    <a:stretch>
                      <a:fillRect/>
                    </a:stretch>
                  </pic:blipFill>
                  <pic:spPr>
                    <a:xfrm>
                      <a:off x="0" y="0"/>
                      <a:ext cx="5972175" cy="1362075"/>
                    </a:xfrm>
                    <a:prstGeom prst="rect">
                      <a:avLst/>
                    </a:prstGeom>
                    <a:noFill/>
                    <a:ln>
                      <a:noFill/>
                    </a:ln>
                  </pic:spPr>
                </pic:pic>
              </a:graphicData>
            </a:graphic>
          </wp:inline>
        </w:drawing>
      </w:r>
    </w:p>
    <w:p w14:paraId="7978AD19" w14:textId="77777777" w:rsidR="00393E8B" w:rsidRDefault="00000000">
      <w:pPr>
        <w:spacing w:line="360" w:lineRule="auto"/>
        <w:ind w:firstLineChars="200" w:firstLine="420"/>
        <w:jc w:val="left"/>
      </w:pPr>
      <w:r>
        <w:rPr>
          <w:rFonts w:ascii="宋体" w:hAnsi="宋体" w:hint="eastAsia"/>
          <w:szCs w:val="21"/>
        </w:rPr>
        <w:t>增加了</w:t>
      </w:r>
      <w:r>
        <w:rPr>
          <w:rFonts w:hint="eastAsia"/>
        </w:rPr>
        <w:t>表面洛氏硬度试验选择</w:t>
      </w:r>
      <w:r>
        <w:rPr>
          <w:rFonts w:hint="eastAsia"/>
        </w:rPr>
        <w:t>HR15X</w:t>
      </w:r>
      <w:r>
        <w:rPr>
          <w:rFonts w:hint="eastAsia"/>
        </w:rPr>
        <w:t>、</w:t>
      </w:r>
      <w:r>
        <w:rPr>
          <w:rFonts w:hint="eastAsia"/>
        </w:rPr>
        <w:t>HR15Y</w:t>
      </w:r>
      <w:r>
        <w:rPr>
          <w:rFonts w:hint="eastAsia"/>
        </w:rPr>
        <w:t>标尺时，可按样品材质预期硬度值参照表</w:t>
      </w:r>
      <w:r>
        <w:rPr>
          <w:rFonts w:hint="eastAsia"/>
        </w:rPr>
        <w:t>5</w:t>
      </w:r>
      <w:r>
        <w:rPr>
          <w:rFonts w:hint="eastAsia"/>
        </w:rPr>
        <w:t>选择相应直径的压头及试验力。</w:t>
      </w:r>
    </w:p>
    <w:p w14:paraId="25958AE0" w14:textId="77777777" w:rsidR="00393E8B" w:rsidRDefault="00000000">
      <w:pPr>
        <w:spacing w:line="360" w:lineRule="auto"/>
        <w:ind w:firstLineChars="200" w:firstLine="420"/>
        <w:rPr>
          <w:rFonts w:ascii="宋体" w:hAnsi="宋体" w:hint="eastAsia"/>
          <w:szCs w:val="21"/>
        </w:rPr>
      </w:pPr>
      <w:r>
        <w:rPr>
          <w:noProof/>
        </w:rPr>
        <w:drawing>
          <wp:inline distT="0" distB="0" distL="114300" distR="114300" wp14:anchorId="0B95CBAF" wp14:editId="0CB3B259">
            <wp:extent cx="5848350" cy="1104900"/>
            <wp:effectExtent l="0" t="0" r="0" b="0"/>
            <wp:docPr id="11"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图片 6"/>
                    <pic:cNvPicPr>
                      <a:picLocks noChangeAspect="1"/>
                    </pic:cNvPicPr>
                  </pic:nvPicPr>
                  <pic:blipFill>
                    <a:blip r:embed="rId16"/>
                    <a:stretch>
                      <a:fillRect/>
                    </a:stretch>
                  </pic:blipFill>
                  <pic:spPr>
                    <a:xfrm>
                      <a:off x="0" y="0"/>
                      <a:ext cx="5848350" cy="1104900"/>
                    </a:xfrm>
                    <a:prstGeom prst="rect">
                      <a:avLst/>
                    </a:prstGeom>
                    <a:noFill/>
                    <a:ln>
                      <a:noFill/>
                    </a:ln>
                  </pic:spPr>
                </pic:pic>
              </a:graphicData>
            </a:graphic>
          </wp:inline>
        </w:drawing>
      </w:r>
    </w:p>
    <w:p w14:paraId="74FD7156" w14:textId="77777777" w:rsidR="00393E8B" w:rsidRDefault="00000000">
      <w:pPr>
        <w:numPr>
          <w:ilvl w:val="0"/>
          <w:numId w:val="3"/>
        </w:numPr>
        <w:spacing w:line="360" w:lineRule="auto"/>
        <w:ind w:firstLineChars="200" w:firstLine="420"/>
        <w:rPr>
          <w:rFonts w:ascii="宋体" w:hAnsi="宋体" w:hint="eastAsia"/>
          <w:szCs w:val="21"/>
        </w:rPr>
      </w:pPr>
      <w:r>
        <w:rPr>
          <w:rFonts w:ascii="宋体" w:hAnsi="宋体" w:hint="eastAsia"/>
          <w:szCs w:val="21"/>
        </w:rPr>
        <w:t>将“试验结果”更改为“试验数据处理”，增加了“数值修约”（见标准第9章，2002年版的第6章）。</w:t>
      </w:r>
    </w:p>
    <w:p w14:paraId="39F1F8C3" w14:textId="77777777" w:rsidR="00393E8B" w:rsidRDefault="00000000">
      <w:pPr>
        <w:spacing w:line="360" w:lineRule="auto"/>
        <w:ind w:leftChars="200" w:left="420"/>
      </w:pPr>
      <w:r>
        <w:rPr>
          <w:rFonts w:hint="eastAsia"/>
        </w:rPr>
        <w:t>布氏硬度试验应在两相互垂直方向测量压痕直径，用其算术平均值计算压痕平均直径后，利用表</w:t>
      </w:r>
      <w:r>
        <w:rPr>
          <w:rFonts w:hint="eastAsia"/>
        </w:rPr>
        <w:t>1</w:t>
      </w:r>
      <w:r>
        <w:rPr>
          <w:rFonts w:hint="eastAsia"/>
        </w:rPr>
        <w:t>给出</w:t>
      </w:r>
    </w:p>
    <w:p w14:paraId="12E128E2" w14:textId="77777777" w:rsidR="00393E8B" w:rsidRDefault="00000000">
      <w:pPr>
        <w:spacing w:line="360" w:lineRule="auto"/>
      </w:pPr>
      <w:r>
        <w:rPr>
          <w:rFonts w:hint="eastAsia"/>
        </w:rPr>
        <w:t>的公式计算样品的布氏硬度值；或按</w:t>
      </w:r>
      <w:r>
        <w:rPr>
          <w:rFonts w:hint="eastAsia"/>
        </w:rPr>
        <w:t>GB/T 231.4</w:t>
      </w:r>
      <w:r>
        <w:rPr>
          <w:rFonts w:hint="eastAsia"/>
        </w:rPr>
        <w:t>对应压痕直径直接查得布氏硬度值。</w:t>
      </w:r>
    </w:p>
    <w:p w14:paraId="62EA29FC" w14:textId="77777777" w:rsidR="00393E8B" w:rsidRDefault="00000000">
      <w:pPr>
        <w:spacing w:line="360" w:lineRule="auto"/>
        <w:ind w:leftChars="200" w:left="420"/>
      </w:pPr>
      <w:r>
        <w:rPr>
          <w:rFonts w:hint="eastAsia"/>
        </w:rPr>
        <w:t>HRL</w:t>
      </w:r>
      <w:r>
        <w:rPr>
          <w:rFonts w:hint="eastAsia"/>
        </w:rPr>
        <w:t>、</w:t>
      </w:r>
      <w:r>
        <w:rPr>
          <w:rFonts w:hint="eastAsia"/>
        </w:rPr>
        <w:t>HRM</w:t>
      </w:r>
      <w:r>
        <w:rPr>
          <w:rFonts w:hint="eastAsia"/>
        </w:rPr>
        <w:t>、</w:t>
      </w:r>
      <w:r>
        <w:rPr>
          <w:rFonts w:hint="eastAsia"/>
        </w:rPr>
        <w:t>HRR</w:t>
      </w:r>
      <w:r>
        <w:rPr>
          <w:rFonts w:hint="eastAsia"/>
        </w:rPr>
        <w:t>、</w:t>
      </w:r>
      <w:r>
        <w:rPr>
          <w:rFonts w:hint="eastAsia"/>
        </w:rPr>
        <w:t>HR15X</w:t>
      </w:r>
      <w:r>
        <w:rPr>
          <w:rFonts w:hint="eastAsia"/>
        </w:rPr>
        <w:t>、</w:t>
      </w:r>
      <w:r>
        <w:rPr>
          <w:rFonts w:hint="eastAsia"/>
        </w:rPr>
        <w:t>HR15Y</w:t>
      </w:r>
      <w:r>
        <w:rPr>
          <w:rFonts w:hint="eastAsia"/>
        </w:rPr>
        <w:t>标尺的洛氏硬度值按表</w:t>
      </w:r>
      <w:r>
        <w:rPr>
          <w:rFonts w:hint="eastAsia"/>
        </w:rPr>
        <w:t>2</w:t>
      </w:r>
      <w:r>
        <w:rPr>
          <w:rFonts w:hint="eastAsia"/>
        </w:rPr>
        <w:t>给出的对应公式计算。压痕深度测量是采用</w:t>
      </w:r>
    </w:p>
    <w:p w14:paraId="4C59981D" w14:textId="77777777" w:rsidR="00393E8B" w:rsidRDefault="00000000">
      <w:pPr>
        <w:spacing w:line="360" w:lineRule="auto"/>
      </w:pPr>
      <w:r>
        <w:rPr>
          <w:rFonts w:hint="eastAsia"/>
        </w:rPr>
        <w:lastRenderedPageBreak/>
        <w:t>自动计算从而显示对应洛氏硬度值。</w:t>
      </w:r>
    </w:p>
    <w:p w14:paraId="242D7C22" w14:textId="77777777" w:rsidR="00393E8B" w:rsidRDefault="00000000">
      <w:pPr>
        <w:spacing w:line="360" w:lineRule="auto"/>
        <w:ind w:firstLineChars="200" w:firstLine="420"/>
      </w:pPr>
      <w:r>
        <w:rPr>
          <w:rFonts w:hint="eastAsia"/>
        </w:rPr>
        <w:t>再根据测量出的</w:t>
      </w:r>
      <w:r>
        <w:rPr>
          <w:rFonts w:hint="eastAsia"/>
        </w:rPr>
        <w:t>4</w:t>
      </w:r>
      <w:r>
        <w:rPr>
          <w:rFonts w:hint="eastAsia"/>
        </w:rPr>
        <w:t>个硬度值，计算出算术平均值，计算结果按</w:t>
      </w:r>
      <w:r>
        <w:rPr>
          <w:rFonts w:hint="eastAsia"/>
        </w:rPr>
        <w:t>GB/T 8170</w:t>
      </w:r>
      <w:r>
        <w:rPr>
          <w:rFonts w:hint="eastAsia"/>
        </w:rPr>
        <w:t>进行修约，保留三位有效数字。</w:t>
      </w:r>
    </w:p>
    <w:p w14:paraId="7FFFF7E5" w14:textId="77777777" w:rsidR="00393E8B" w:rsidRDefault="00000000">
      <w:pPr>
        <w:spacing w:line="360" w:lineRule="auto"/>
        <w:ind w:firstLineChars="200" w:firstLine="422"/>
        <w:rPr>
          <w:rFonts w:ascii="宋体" w:hAnsi="宋体" w:hint="eastAsia"/>
          <w:szCs w:val="21"/>
        </w:rPr>
      </w:pPr>
      <w:r>
        <w:rPr>
          <w:rFonts w:ascii="宋体" w:hAnsi="宋体" w:hint="eastAsia"/>
          <w:b/>
          <w:bCs/>
          <w:szCs w:val="21"/>
        </w:rPr>
        <w:t>12）</w:t>
      </w:r>
      <w:r>
        <w:rPr>
          <w:rFonts w:ascii="宋体" w:hAnsi="宋体" w:hint="eastAsia"/>
          <w:szCs w:val="21"/>
        </w:rPr>
        <w:t>增加了精度及偏差（见标准第10章）。</w:t>
      </w:r>
    </w:p>
    <w:p w14:paraId="19D5FA57" w14:textId="77777777" w:rsidR="00393E8B" w:rsidRDefault="00000000">
      <w:pPr>
        <w:spacing w:line="360" w:lineRule="auto"/>
        <w:ind w:firstLineChars="200" w:firstLine="422"/>
        <w:rPr>
          <w:rFonts w:ascii="宋体" w:hAnsi="宋体" w:hint="eastAsia"/>
          <w:szCs w:val="21"/>
        </w:rPr>
      </w:pPr>
      <w:r>
        <w:rPr>
          <w:rFonts w:ascii="宋体" w:hAnsi="宋体" w:hint="eastAsia"/>
          <w:b/>
          <w:bCs/>
          <w:szCs w:val="21"/>
        </w:rPr>
        <w:t>13）</w:t>
      </w:r>
      <w:r>
        <w:rPr>
          <w:rFonts w:ascii="宋体" w:hAnsi="宋体" w:hint="eastAsia"/>
          <w:szCs w:val="21"/>
        </w:rPr>
        <w:t>更改了“试验报告”，增加了“有关样品的详细描述”和“如果总试验力保持时间超出GB/T230.1、GB/T231.1规定之外时，应注明总试验力保持时间”等内容，使试验报告内容更清晰（见标准第11章，2002年版的第7章）。</w:t>
      </w:r>
    </w:p>
    <w:p w14:paraId="40F18FAE" w14:textId="77777777" w:rsidR="00393E8B" w:rsidRDefault="00000000">
      <w:pPr>
        <w:pStyle w:val="a8"/>
        <w:spacing w:line="360" w:lineRule="auto"/>
        <w:ind w:left="480" w:firstLineChars="0" w:firstLine="0"/>
        <w:rPr>
          <w:rFonts w:ascii="宋体" w:hAnsi="宋体" w:hint="eastAsia"/>
          <w:szCs w:val="21"/>
        </w:rPr>
      </w:pPr>
      <w:r>
        <w:rPr>
          <w:rFonts w:ascii="宋体" w:hAnsi="宋体" w:hint="eastAsia"/>
          <w:b/>
          <w:bCs/>
          <w:szCs w:val="21"/>
        </w:rPr>
        <w:t>14）</w:t>
      </w:r>
      <w:r>
        <w:rPr>
          <w:rFonts w:ascii="宋体" w:hAnsi="宋体" w:hint="eastAsia"/>
          <w:szCs w:val="21"/>
        </w:rPr>
        <w:t>增加了“实验室研究结果概要”（见标准附录A)。</w:t>
      </w:r>
    </w:p>
    <w:p w14:paraId="0E21E945" w14:textId="77777777" w:rsidR="00393E8B" w:rsidRDefault="00393E8B">
      <w:pPr>
        <w:pStyle w:val="a8"/>
        <w:spacing w:line="360" w:lineRule="auto"/>
        <w:ind w:left="480" w:firstLineChars="0" w:firstLine="0"/>
        <w:rPr>
          <w:rFonts w:ascii="宋体" w:hAnsi="宋体" w:hint="eastAsia"/>
          <w:szCs w:val="21"/>
        </w:rPr>
      </w:pPr>
    </w:p>
    <w:p w14:paraId="45FEB47D" w14:textId="77777777" w:rsidR="00393E8B" w:rsidRDefault="00000000">
      <w:pPr>
        <w:spacing w:line="460" w:lineRule="exact"/>
        <w:ind w:firstLineChars="200" w:firstLine="420"/>
        <w:rPr>
          <w:rFonts w:ascii="宋体" w:hAnsi="宋体" w:hint="eastAsia"/>
          <w:szCs w:val="21"/>
        </w:rPr>
      </w:pPr>
      <w:r>
        <w:rPr>
          <w:rFonts w:ascii="宋体" w:hAnsi="宋体" w:hint="eastAsia"/>
          <w:szCs w:val="21"/>
        </w:rPr>
        <w:t>新标准规定了烧结金属摩擦材料表观硬度的两种测定方法，其方法能够满足各主要应用领域的烧结金属摩擦材料产品的硬度检测，能够为使用单位以及第三方检测机构提供科学可靠的测定方法。</w:t>
      </w:r>
    </w:p>
    <w:p w14:paraId="575EF0A2" w14:textId="77777777" w:rsidR="00393E8B" w:rsidRDefault="00000000">
      <w:pPr>
        <w:spacing w:line="460" w:lineRule="exact"/>
        <w:ind w:firstLineChars="200" w:firstLine="420"/>
        <w:rPr>
          <w:rFonts w:ascii="宋体" w:hAnsi="宋体" w:hint="eastAsia"/>
          <w:szCs w:val="21"/>
        </w:rPr>
      </w:pPr>
      <w:r>
        <w:rPr>
          <w:rFonts w:ascii="宋体" w:hAnsi="宋体" w:hint="eastAsia"/>
          <w:szCs w:val="21"/>
        </w:rPr>
        <w:t>修订后的标准将提高烧结金属摩擦材料表观硬度测定的科学性，提高其测定的准确性，从而帮助使用单位提高产品的质量水平。</w:t>
      </w:r>
    </w:p>
    <w:p w14:paraId="70424CCB" w14:textId="77777777" w:rsidR="00393E8B" w:rsidRDefault="00000000">
      <w:pPr>
        <w:pStyle w:val="a8"/>
        <w:spacing w:line="360" w:lineRule="auto"/>
        <w:ind w:left="480" w:firstLineChars="0" w:firstLine="0"/>
        <w:rPr>
          <w:rFonts w:ascii="宋体" w:hAnsi="宋体" w:hint="eastAsia"/>
          <w:szCs w:val="21"/>
        </w:rPr>
      </w:pPr>
      <w:r>
        <w:rPr>
          <w:rFonts w:ascii="宋体" w:hAnsi="宋体" w:hint="eastAsia"/>
          <w:szCs w:val="21"/>
        </w:rPr>
        <w:t>修订后的标准将提高测定方法和要求的规范性，有助于减少产品质量测定差异，有效减少供应商和客户</w:t>
      </w:r>
    </w:p>
    <w:p w14:paraId="3A88EEB3" w14:textId="77777777" w:rsidR="00393E8B" w:rsidRDefault="00000000">
      <w:pPr>
        <w:pStyle w:val="a8"/>
        <w:spacing w:line="360" w:lineRule="auto"/>
        <w:ind w:firstLineChars="0" w:firstLine="0"/>
        <w:rPr>
          <w:rFonts w:ascii="宋体" w:hAnsi="宋体" w:hint="eastAsia"/>
          <w:szCs w:val="21"/>
        </w:rPr>
      </w:pPr>
      <w:r>
        <w:rPr>
          <w:rFonts w:ascii="宋体" w:hAnsi="宋体" w:hint="eastAsia"/>
          <w:szCs w:val="21"/>
        </w:rPr>
        <w:t>之间因测定差异造成的纠纷。</w:t>
      </w:r>
    </w:p>
    <w:p w14:paraId="323A12AF" w14:textId="77777777" w:rsidR="00393E8B" w:rsidRDefault="00393E8B">
      <w:pPr>
        <w:spacing w:line="460" w:lineRule="exact"/>
        <w:rPr>
          <w:rFonts w:ascii="宋体" w:hAnsi="宋体" w:hint="eastAsia"/>
          <w:szCs w:val="21"/>
        </w:rPr>
      </w:pPr>
    </w:p>
    <w:sectPr w:rsidR="00393E8B">
      <w:footerReference w:type="default" r:id="rId17"/>
      <w:pgSz w:w="11906" w:h="16838"/>
      <w:pgMar w:top="850" w:right="850" w:bottom="850" w:left="1134"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2A3415D" w14:textId="77777777" w:rsidR="009F72BB" w:rsidRDefault="009F72BB">
      <w:r>
        <w:separator/>
      </w:r>
    </w:p>
  </w:endnote>
  <w:endnote w:type="continuationSeparator" w:id="0">
    <w:p w14:paraId="00439A77" w14:textId="77777777" w:rsidR="009F72BB" w:rsidRDefault="009F72B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仿宋_GB2312">
    <w:altName w:val="仿宋"/>
    <w:charset w:val="86"/>
    <w:family w:val="modern"/>
    <w:pitch w:val="default"/>
    <w:sig w:usb0="00000000" w:usb1="00000000" w:usb2="00000000" w:usb3="00000000" w:csb0="00040000"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BBBF55" w14:textId="77777777" w:rsidR="00393E8B" w:rsidRDefault="00000000">
    <w:pPr>
      <w:pStyle w:val="a4"/>
    </w:pPr>
    <w:r>
      <w:rPr>
        <w:noProof/>
      </w:rPr>
      <mc:AlternateContent>
        <mc:Choice Requires="wps">
          <w:drawing>
            <wp:anchor distT="0" distB="0" distL="114300" distR="114300" simplePos="0" relativeHeight="251659264" behindDoc="0" locked="0" layoutInCell="1" allowOverlap="1" wp14:anchorId="26C1FD58" wp14:editId="7B20CF37">
              <wp:simplePos x="0" y="0"/>
              <wp:positionH relativeFrom="margin">
                <wp:align>right</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xtLst>
                        <a:ext uri="{909E8E84-426E-40DD-AFC4-6F175D3DCCD1}">
                          <a14:hiddenFill xmlns:a14="http://schemas.microsoft.com/office/drawing/2010/main">
                            <a:solidFill>
                              <a:schemeClr val="lt1"/>
                            </a:solidFill>
                          </a14:hiddenFill>
                        </a:ext>
                        <a:ext uri="{91240B29-F687-4F45-9708-019B960494DF}">
                          <a14:hiddenLine xmlns:a14="http://schemas.microsoft.com/office/drawing/2010/main" w="6350">
                            <a:solidFill>
                              <a:prstClr val="black"/>
                            </a:solidFill>
                          </a14:hiddenLine>
                        </a:ext>
                      </a:extLst>
                    </wps:spPr>
                    <wps:style>
                      <a:lnRef idx="0">
                        <a:schemeClr val="accent1"/>
                      </a:lnRef>
                      <a:fillRef idx="0">
                        <a:schemeClr val="accent1"/>
                      </a:fillRef>
                      <a:effectRef idx="0">
                        <a:schemeClr val="accent1"/>
                      </a:effectRef>
                      <a:fontRef idx="minor">
                        <a:schemeClr val="dk1"/>
                      </a:fontRef>
                    </wps:style>
                    <wps:txbx>
                      <w:txbxContent>
                        <w:p w14:paraId="34BA5E4D" w14:textId="77777777" w:rsidR="00393E8B" w:rsidRDefault="00000000">
                          <w:pPr>
                            <w:pStyle w:val="a4"/>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type w14:anchorId="26C1FD58" id="_x0000_t202" coordsize="21600,21600" o:spt="202" path="m,l,21600r21600,l21600,xe">
              <v:stroke joinstyle="miter"/>
              <v:path gradientshapeok="t" o:connecttype="rect"/>
            </v:shapetype>
            <v:shape id="文本框 1" o:spid="_x0000_s1026" type="#_x0000_t202" style="position:absolute;margin-left:92.8pt;margin-top:0;width:2in;height:2in;z-index:251659264;visibility:visible;mso-wrap-style:none;mso-wrap-distance-left:9pt;mso-wrap-distance-top:0;mso-wrap-distance-right:9pt;mso-wrap-distance-bottom:0;mso-position-horizontal:right;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fyqUPQIAAOQEAAAOAAAAZHJzL2Uyb0RvYy54bWysVN+P0zAMfkfif4jyzroNcZqmdaex0xDS&#10;xJ3YIZ6zNFkr0jhKvLXjr8dJfwwdvBziJXVj+7P92c7qvq0NuygfKrA5n02mnCkroajsKeffnnfv&#10;FpwFFLYQBqzK+VUFfr9++2bVuKWaQwmmUJ4RiA3LxuW8RHTLLAuyVLUIE3DKklKDrwXSrz9lhRcN&#10;odcmm0+nd1kDvnAepAqBbh86JV8nfK2VxEetg0Jmck65YTp9Oo/xzNYrsTx54cpK9mmIf8iiFpWl&#10;oCPUg0DBzr76A6qupIcAGicS6gy0rqRKNVA1s+mLag6lcCrVQuQEN9IU/h+s/HI5uCfPsP0ILTUw&#10;EtK4sAx0Getpta/jlzJlpCcKryNtqkUmo9NivlhMSSVJN/wQTnZzdz7gJwU1i0LOPfUl0SUu+4Cd&#10;6WASo1nYVcak3hjLmpzfvf8wTQ6jhsCNpRi3ZJOEV6MigrFflWZVkXKOF2mi1NZ4dhE0C0JKZTGV&#10;m5DIOlppCvsax94+uqo0ba9xHj1SZLA4OteVBZ/qfZF28WNIWXf2AwNd3ZECbI9t38QjFFfqrYdu&#10;7IOTu4r434uAT8LTnFPPaHfxkQ5tgHiGXuKsBP/zb/fRnsaPtJw1tDc5t7TYnJnPlsYyrtgg+EE4&#10;DoI911sg8mf0JjiZRHLwaAZRe6i/00JvYgxSCSspUs5xELfY7S49CFJtNsmIFskJ3NuDkxE6Ndtt&#10;zkgzlEYrktIx0ZNFq5SGs1/7uKu//yer2+O0/gUAAP//AwBQSwMEFAAGAAgAAAAhAOcqirzWAAAA&#10;BQEAAA8AAABkcnMvZG93bnJldi54bWxMj0FLw0AQhe9C/8MyBW92Yw+SxGyKlnrpRVoFr9PsmAR3&#10;Z0N2m8Z/7yiCXoZ5vOG9b6rN7J2aaIx9YAO3qwwUcRNsz62B15enmxxUTMgWXWAy8EkRNvXiqsLS&#10;hgsfaDqmVkkIxxINdCkNpdax6chjXIWBWLz3MHpMIsdW2xEvEu6dXmfZnfbYszR0ONC2o+bjePbS&#10;u3dvUyjSodHTzj7OecHP+8KY6+X8cA8q0Zz+juEbX9ChFqZTOLONyhmQR9LPFG+d5yJPv4uuK/2f&#10;vv4CAAD//wMAUEsBAi0AFAAGAAgAAAAhALaDOJL+AAAA4QEAABMAAAAAAAAAAAAAAAAAAAAAAFtD&#10;b250ZW50X1R5cGVzXS54bWxQSwECLQAUAAYACAAAACEAOP0h/9YAAACUAQAACwAAAAAAAAAAAAAA&#10;AAAvAQAAX3JlbHMvLnJlbHNQSwECLQAUAAYACAAAACEA/H8qlD0CAADkBAAADgAAAAAAAAAAAAAA&#10;AAAuAgAAZHJzL2Uyb0RvYy54bWxQSwECLQAUAAYACAAAACEA5yqKvNYAAAAFAQAADwAAAAAAAAAA&#10;AAAAAACXBAAAZHJzL2Rvd25yZXYueG1sUEsFBgAAAAAEAAQA8wAAAJoFAAAAAA==&#10;" filled="f" fillcolor="white [3201]" stroked="f" strokeweight=".5pt">
              <v:textbox style="mso-fit-shape-to-text:t" inset="0,0,0,0">
                <w:txbxContent>
                  <w:p w14:paraId="34BA5E4D" w14:textId="77777777" w:rsidR="00393E8B" w:rsidRDefault="00000000">
                    <w:pPr>
                      <w:pStyle w:val="a4"/>
                    </w:pPr>
                    <w:r>
                      <w:fldChar w:fldCharType="begin"/>
                    </w:r>
                    <w:r>
                      <w:instrText xml:space="preserve"> PAGE  \* MERGEFORMAT </w:instrText>
                    </w:r>
                    <w:r>
                      <w:fldChar w:fldCharType="separate"/>
                    </w:r>
                    <w:r>
                      <w:t>1</w:t>
                    </w:r>
                    <w:r>
                      <w:fldChar w:fldCharType="end"/>
                    </w:r>
                  </w:p>
                </w:txbxContent>
              </v:textbox>
              <w10:wrap anchorx="margin"/>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BC2B216" w14:textId="77777777" w:rsidR="009F72BB" w:rsidRDefault="009F72BB">
      <w:r>
        <w:separator/>
      </w:r>
    </w:p>
  </w:footnote>
  <w:footnote w:type="continuationSeparator" w:id="0">
    <w:p w14:paraId="5D9EE6BD" w14:textId="77777777" w:rsidR="009F72BB" w:rsidRDefault="009F72B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8D4ACF39"/>
    <w:multiLevelType w:val="singleLevel"/>
    <w:tmpl w:val="8D4ACF39"/>
    <w:lvl w:ilvl="0">
      <w:start w:val="7"/>
      <w:numFmt w:val="decimal"/>
      <w:suff w:val="nothing"/>
      <w:lvlText w:val="%1）"/>
      <w:lvlJc w:val="left"/>
      <w:rPr>
        <w:rFonts w:hint="default"/>
        <w:b/>
        <w:bCs/>
      </w:rPr>
    </w:lvl>
  </w:abstractNum>
  <w:abstractNum w:abstractNumId="1" w15:restartNumberingAfterBreak="0">
    <w:nsid w:val="A9B4AE52"/>
    <w:multiLevelType w:val="singleLevel"/>
    <w:tmpl w:val="A9B4AE52"/>
    <w:lvl w:ilvl="0">
      <w:start w:val="3"/>
      <w:numFmt w:val="chineseCounting"/>
      <w:suff w:val="nothing"/>
      <w:lvlText w:val="%1、"/>
      <w:lvlJc w:val="left"/>
      <w:rPr>
        <w:rFonts w:hint="eastAsia"/>
      </w:rPr>
    </w:lvl>
  </w:abstractNum>
  <w:abstractNum w:abstractNumId="2" w15:restartNumberingAfterBreak="0">
    <w:nsid w:val="44C50F90"/>
    <w:multiLevelType w:val="multilevel"/>
    <w:tmpl w:val="44C50F90"/>
    <w:lvl w:ilvl="0">
      <w:start w:val="1"/>
      <w:numFmt w:val="lowerLetter"/>
      <w:pStyle w:val="a"/>
      <w:lvlText w:val="%1)"/>
      <w:lvlJc w:val="left"/>
      <w:pPr>
        <w:tabs>
          <w:tab w:val="left" w:pos="851"/>
        </w:tabs>
        <w:ind w:left="851" w:hanging="426"/>
      </w:pPr>
      <w:rPr>
        <w:rFonts w:ascii="宋体" w:eastAsia="宋体" w:hAnsi="Times New Roman" w:hint="eastAsia"/>
        <w:sz w:val="21"/>
      </w:rPr>
    </w:lvl>
    <w:lvl w:ilvl="1">
      <w:start w:val="1"/>
      <w:numFmt w:val="decimal"/>
      <w:lvlText w:val="%2)"/>
      <w:lvlJc w:val="left"/>
      <w:pPr>
        <w:tabs>
          <w:tab w:val="left" w:pos="1276"/>
        </w:tabs>
        <w:ind w:left="1276" w:hanging="425"/>
      </w:pPr>
      <w:rPr>
        <w:rFonts w:ascii="宋体" w:eastAsia="宋体" w:hAnsi="Times New Roman" w:hint="eastAsia"/>
        <w:sz w:val="21"/>
      </w:rPr>
    </w:lvl>
    <w:lvl w:ilvl="2">
      <w:start w:val="1"/>
      <w:numFmt w:val="decimal"/>
      <w:lvlText w:val="(%3)"/>
      <w:lvlJc w:val="left"/>
      <w:pPr>
        <w:ind w:left="1701" w:hanging="425"/>
      </w:pPr>
      <w:rPr>
        <w:rFonts w:ascii="宋体" w:eastAsia="宋体" w:hAnsi="Times New Roman" w:hint="eastAsia"/>
        <w:sz w:val="21"/>
      </w:rPr>
    </w:lvl>
    <w:lvl w:ilvl="3">
      <w:start w:val="1"/>
      <w:numFmt w:val="decimal"/>
      <w:lvlText w:val="%4."/>
      <w:lvlJc w:val="left"/>
      <w:pPr>
        <w:tabs>
          <w:tab w:val="left" w:pos="2100"/>
        </w:tabs>
        <w:ind w:left="2099" w:hanging="419"/>
      </w:pPr>
      <w:rPr>
        <w:rFonts w:hint="eastAsia"/>
      </w:rPr>
    </w:lvl>
    <w:lvl w:ilvl="4">
      <w:start w:val="1"/>
      <w:numFmt w:val="lowerLetter"/>
      <w:lvlText w:val="%5)"/>
      <w:lvlJc w:val="left"/>
      <w:pPr>
        <w:tabs>
          <w:tab w:val="left" w:pos="2520"/>
        </w:tabs>
        <w:ind w:left="2519" w:hanging="419"/>
      </w:pPr>
      <w:rPr>
        <w:rFonts w:hint="eastAsia"/>
      </w:rPr>
    </w:lvl>
    <w:lvl w:ilvl="5">
      <w:start w:val="1"/>
      <w:numFmt w:val="lowerRoman"/>
      <w:lvlText w:val="%6."/>
      <w:lvlJc w:val="right"/>
      <w:pPr>
        <w:tabs>
          <w:tab w:val="left" w:pos="2940"/>
        </w:tabs>
        <w:ind w:left="2939" w:hanging="419"/>
      </w:pPr>
      <w:rPr>
        <w:rFonts w:hint="eastAsia"/>
      </w:rPr>
    </w:lvl>
    <w:lvl w:ilvl="6">
      <w:start w:val="1"/>
      <w:numFmt w:val="decimal"/>
      <w:lvlText w:val="%7."/>
      <w:lvlJc w:val="left"/>
      <w:pPr>
        <w:tabs>
          <w:tab w:val="left" w:pos="3360"/>
        </w:tabs>
        <w:ind w:left="3359" w:hanging="419"/>
      </w:pPr>
      <w:rPr>
        <w:rFonts w:hint="eastAsia"/>
      </w:rPr>
    </w:lvl>
    <w:lvl w:ilvl="7">
      <w:start w:val="1"/>
      <w:numFmt w:val="lowerLetter"/>
      <w:lvlText w:val="%8)"/>
      <w:lvlJc w:val="left"/>
      <w:pPr>
        <w:tabs>
          <w:tab w:val="left" w:pos="3780"/>
        </w:tabs>
        <w:ind w:left="3779" w:hanging="419"/>
      </w:pPr>
      <w:rPr>
        <w:rFonts w:hint="eastAsia"/>
      </w:rPr>
    </w:lvl>
    <w:lvl w:ilvl="8">
      <w:start w:val="1"/>
      <w:numFmt w:val="lowerRoman"/>
      <w:lvlText w:val="%9."/>
      <w:lvlJc w:val="right"/>
      <w:pPr>
        <w:tabs>
          <w:tab w:val="left" w:pos="4200"/>
        </w:tabs>
        <w:ind w:left="4199" w:hanging="419"/>
      </w:pPr>
      <w:rPr>
        <w:rFonts w:hint="eastAsia"/>
      </w:rPr>
    </w:lvl>
  </w:abstractNum>
  <w:num w:numId="1" w16cid:durableId="428429501">
    <w:abstractNumId w:val="2"/>
  </w:num>
  <w:num w:numId="2" w16cid:durableId="977104121">
    <w:abstractNumId w:val="1"/>
  </w:num>
  <w:num w:numId="3" w16cid:durableId="69731402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393E8B"/>
    <w:rsid w:val="000B02A2"/>
    <w:rsid w:val="002D7510"/>
    <w:rsid w:val="00393E8B"/>
    <w:rsid w:val="009F72BB"/>
    <w:rsid w:val="00C3769A"/>
    <w:rsid w:val="03AC6EB0"/>
    <w:rsid w:val="079B770B"/>
    <w:rsid w:val="082E79CE"/>
    <w:rsid w:val="10AA21DC"/>
    <w:rsid w:val="10F13C5C"/>
    <w:rsid w:val="12394D65"/>
    <w:rsid w:val="212F20CD"/>
    <w:rsid w:val="373A6E70"/>
    <w:rsid w:val="3DC23A42"/>
    <w:rsid w:val="3F3E5024"/>
    <w:rsid w:val="40546993"/>
    <w:rsid w:val="41DD6713"/>
    <w:rsid w:val="6B44622A"/>
    <w:rsid w:val="7470515F"/>
    <w:rsid w:val="76BC4239"/>
    <w:rsid w:val="7C5572D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5FB023A"/>
  <w15:docId w15:val="{912B4B9D-AAE4-4A68-9BD9-6FC1865E71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qFormat="1"/>
    <w:lsdException w:name="Subtitle" w:qFormat="1"/>
    <w:lsdException w:name="Hyperlink" w:uiPriority="99" w:unhideWhenUsed="1"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qFormat="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qFormat="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0">
    <w:name w:val="Normal"/>
    <w:qFormat/>
    <w:pPr>
      <w:widowControl w:val="0"/>
      <w:jc w:val="both"/>
    </w:pPr>
    <w:rPr>
      <w:kern w:val="2"/>
      <w:sz w:val="21"/>
      <w:szCs w:val="24"/>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footer"/>
    <w:basedOn w:val="a0"/>
    <w:pPr>
      <w:tabs>
        <w:tab w:val="center" w:pos="4153"/>
        <w:tab w:val="right" w:pos="8306"/>
      </w:tabs>
      <w:snapToGrid w:val="0"/>
      <w:jc w:val="left"/>
    </w:pPr>
    <w:rPr>
      <w:sz w:val="18"/>
    </w:rPr>
  </w:style>
  <w:style w:type="paragraph" w:styleId="a5">
    <w:name w:val="header"/>
    <w:basedOn w:val="a0"/>
    <w:pPr>
      <w:pBdr>
        <w:top w:val="none" w:sz="0" w:space="1" w:color="auto"/>
        <w:left w:val="none" w:sz="0" w:space="4" w:color="auto"/>
        <w:bottom w:val="none" w:sz="0" w:space="1" w:color="auto"/>
        <w:right w:val="none" w:sz="0" w:space="4" w:color="auto"/>
      </w:pBdr>
      <w:tabs>
        <w:tab w:val="center" w:pos="4153"/>
        <w:tab w:val="right" w:pos="8306"/>
      </w:tabs>
      <w:snapToGrid w:val="0"/>
    </w:pPr>
    <w:rPr>
      <w:sz w:val="18"/>
    </w:rPr>
  </w:style>
  <w:style w:type="table" w:styleId="a6">
    <w:name w:val="Table Grid"/>
    <w:basedOn w:val="a2"/>
    <w:uiPriority w:val="39"/>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7">
    <w:name w:val="Hyperlink"/>
    <w:uiPriority w:val="99"/>
    <w:unhideWhenUsed/>
    <w:qFormat/>
    <w:rPr>
      <w:color w:val="0563C1"/>
      <w:u w:val="single"/>
    </w:rPr>
  </w:style>
  <w:style w:type="paragraph" w:styleId="a8">
    <w:name w:val="List Paragraph"/>
    <w:basedOn w:val="a0"/>
    <w:qFormat/>
    <w:pPr>
      <w:ind w:firstLineChars="200" w:firstLine="420"/>
    </w:pPr>
  </w:style>
  <w:style w:type="paragraph" w:customStyle="1" w:styleId="a9">
    <w:name w:val="标准文件_段"/>
    <w:qFormat/>
    <w:pPr>
      <w:autoSpaceDE w:val="0"/>
      <w:autoSpaceDN w:val="0"/>
      <w:ind w:firstLineChars="200" w:firstLine="200"/>
      <w:jc w:val="both"/>
    </w:pPr>
    <w:rPr>
      <w:rFonts w:ascii="宋体" w:eastAsia="宋体" w:hAnsi="Times New Roman" w:cs="Times New Roman"/>
      <w:sz w:val="21"/>
    </w:rPr>
  </w:style>
  <w:style w:type="paragraph" w:customStyle="1" w:styleId="a">
    <w:name w:val="标准文件_字母编号列项（一级）"/>
    <w:qFormat/>
    <w:pPr>
      <w:numPr>
        <w:numId w:val="1"/>
      </w:numPr>
      <w:jc w:val="both"/>
    </w:pPr>
    <w:rPr>
      <w:rFonts w:ascii="宋体" w:eastAsia="宋体" w:hAnsi="Times New Roman" w:cs="Times New Roman"/>
      <w:sz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https://std.samr.gov.cn/" TargetMode="External"/><Relationship Id="rId13" Type="http://schemas.openxmlformats.org/officeDocument/2006/relationships/image" Target="media/image5.png"/><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4.png"/><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image" Target="media/image8.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png"/><Relationship Id="rId5" Type="http://schemas.openxmlformats.org/officeDocument/2006/relationships/webSettings" Target="webSettings.xml"/><Relationship Id="rId15" Type="http://schemas.openxmlformats.org/officeDocument/2006/relationships/image" Target="media/image7.png"/><Relationship Id="rId10" Type="http://schemas.openxmlformats.org/officeDocument/2006/relationships/image" Target="media/image2.png"/><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image" Target="media/image6.png"/></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6</Pages>
  <Words>1691</Words>
  <Characters>1894</Characters>
  <Application>Microsoft Office Word</Application>
  <DocSecurity>0</DocSecurity>
  <Lines>65</Lines>
  <Paragraphs>57</Paragraphs>
  <ScaleCrop>false</ScaleCrop>
  <Company/>
  <LinksUpToDate>false</LinksUpToDate>
  <CharactersWithSpaces>3528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尔 戴</cp:lastModifiedBy>
  <cp:revision>3</cp:revision>
  <dcterms:created xsi:type="dcterms:W3CDTF">2014-10-29T12:08:00Z</dcterms:created>
  <dcterms:modified xsi:type="dcterms:W3CDTF">2026-08-20T02:37:00Z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KSOTemplateDocerSaveRecord">
    <vt:lpwstr>eyJoZGlkIjoiOTU4YWRhNzhmMGEwZjk0NTY1MjMxNGQ4MjFiYzM0ZjAifQ==</vt:lpwstr>
  </property>
  <property fmtid="{D5CDD505-2E9C-101B-9397-08002B2CF9AE}" pid="4" name="ICV">
    <vt:lpwstr>4EF4E86CF1B04C4D913EEFE3029DDA76_12</vt:lpwstr>
  </property>
</Properties>
</file>